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B872" w14:textId="77777777" w:rsidR="00CF2186" w:rsidRDefault="00CF2186" w:rsidP="00CF2186">
      <w:pPr>
        <w:pStyle w:val="Heading2"/>
        <w:ind w:left="2160" w:hanging="2160"/>
        <w:jc w:val="left"/>
      </w:pPr>
      <w:r>
        <w:t>Appendix B.</w:t>
      </w:r>
      <w:r>
        <w:tab/>
      </w:r>
      <w:r w:rsidR="00F01742">
        <w:t>Background for Liability Issues</w:t>
      </w:r>
    </w:p>
    <w:p w14:paraId="2F0EB873" w14:textId="77777777" w:rsidR="00CF2186" w:rsidRDefault="00CF2186" w:rsidP="00CF2186">
      <w:pPr>
        <w:pStyle w:val="Heading2"/>
        <w:ind w:left="2160" w:hanging="2160"/>
        <w:jc w:val="left"/>
      </w:pPr>
      <w:r>
        <w:t>Overview</w:t>
      </w:r>
    </w:p>
    <w:p w14:paraId="24D4A0AA" w14:textId="77777777" w:rsidR="00A75FB9" w:rsidRDefault="00A75FB9" w:rsidP="00A75FB9">
      <w:pPr>
        <w:pStyle w:val="BlockLine"/>
        <w:ind w:right="-180"/>
      </w:pPr>
    </w:p>
    <w:tbl>
      <w:tblPr>
        <w:tblW w:w="9648" w:type="dxa"/>
        <w:tblLayout w:type="fixed"/>
        <w:tblLook w:val="0000" w:firstRow="0" w:lastRow="0" w:firstColumn="0" w:lastColumn="0" w:noHBand="0" w:noVBand="0"/>
      </w:tblPr>
      <w:tblGrid>
        <w:gridCol w:w="1728"/>
        <w:gridCol w:w="7920"/>
      </w:tblGrid>
      <w:tr w:rsidR="00CF2186" w14:paraId="2F0EB876" w14:textId="77777777" w:rsidTr="00717114">
        <w:trPr>
          <w:cantSplit/>
        </w:trPr>
        <w:tc>
          <w:tcPr>
            <w:tcW w:w="1728" w:type="dxa"/>
          </w:tcPr>
          <w:p w14:paraId="2F0EB874" w14:textId="77777777" w:rsidR="00CF2186" w:rsidRDefault="00CF2186" w:rsidP="00717114">
            <w:pPr>
              <w:pStyle w:val="Heading5"/>
            </w:pPr>
            <w:r>
              <w:t>In this Chapter</w:t>
            </w:r>
          </w:p>
        </w:tc>
        <w:tc>
          <w:tcPr>
            <w:tcW w:w="7920" w:type="dxa"/>
          </w:tcPr>
          <w:p w14:paraId="2F0EB875" w14:textId="77777777" w:rsidR="00CF2186" w:rsidRDefault="00CF2186" w:rsidP="00717114">
            <w:pPr>
              <w:pStyle w:val="BlockText"/>
            </w:pPr>
            <w:r>
              <w:t>This chapte</w:t>
            </w:r>
            <w:r w:rsidR="00752009">
              <w:t>r contains the following topics.</w:t>
            </w:r>
          </w:p>
        </w:tc>
      </w:tr>
    </w:tbl>
    <w:p w14:paraId="2F0EB877" w14:textId="77777777" w:rsidR="00CF2186" w:rsidRDefault="00CF2186" w:rsidP="00CF2186"/>
    <w:tbl>
      <w:tblPr>
        <w:tblW w:w="7820" w:type="dxa"/>
        <w:tblInd w:w="1800" w:type="dxa"/>
        <w:tblLayout w:type="fixed"/>
        <w:tblCellMar>
          <w:left w:w="80" w:type="dxa"/>
          <w:right w:w="80" w:type="dxa"/>
        </w:tblCellMar>
        <w:tblLook w:val="0000" w:firstRow="0" w:lastRow="0" w:firstColumn="0" w:lastColumn="0" w:noHBand="0" w:noVBand="0"/>
      </w:tblPr>
      <w:tblGrid>
        <w:gridCol w:w="980"/>
        <w:gridCol w:w="5940"/>
        <w:gridCol w:w="900"/>
      </w:tblGrid>
      <w:tr w:rsidR="00CF2186" w14:paraId="2F0EB87B" w14:textId="77777777" w:rsidTr="00717114">
        <w:trPr>
          <w:cantSplit/>
        </w:trPr>
        <w:tc>
          <w:tcPr>
            <w:tcW w:w="980" w:type="dxa"/>
            <w:tcBorders>
              <w:top w:val="single" w:sz="6" w:space="0" w:color="auto"/>
              <w:left w:val="single" w:sz="6" w:space="0" w:color="auto"/>
              <w:bottom w:val="single" w:sz="6" w:space="0" w:color="auto"/>
              <w:right w:val="single" w:sz="6" w:space="0" w:color="auto"/>
            </w:tcBorders>
          </w:tcPr>
          <w:p w14:paraId="2F0EB878" w14:textId="77777777" w:rsidR="00CF2186" w:rsidRDefault="00CF2186" w:rsidP="00717114">
            <w:pPr>
              <w:pStyle w:val="TableHeaderText"/>
            </w:pPr>
            <w:r>
              <w:t>Topic</w:t>
            </w:r>
          </w:p>
        </w:tc>
        <w:tc>
          <w:tcPr>
            <w:tcW w:w="5940" w:type="dxa"/>
            <w:tcBorders>
              <w:top w:val="single" w:sz="6" w:space="0" w:color="auto"/>
              <w:left w:val="single" w:sz="6" w:space="0" w:color="auto"/>
              <w:bottom w:val="single" w:sz="6" w:space="0" w:color="auto"/>
              <w:right w:val="single" w:sz="6" w:space="0" w:color="auto"/>
            </w:tcBorders>
          </w:tcPr>
          <w:p w14:paraId="2F0EB879" w14:textId="77777777" w:rsidR="00CF2186" w:rsidRDefault="00CF2186" w:rsidP="00717114">
            <w:pPr>
              <w:pStyle w:val="TableHeaderText"/>
            </w:pPr>
            <w:r>
              <w:t xml:space="preserve">Topic Name </w:t>
            </w:r>
          </w:p>
        </w:tc>
        <w:tc>
          <w:tcPr>
            <w:tcW w:w="900" w:type="dxa"/>
            <w:tcBorders>
              <w:top w:val="single" w:sz="6" w:space="0" w:color="auto"/>
              <w:left w:val="single" w:sz="6" w:space="0" w:color="auto"/>
              <w:bottom w:val="single" w:sz="6" w:space="0" w:color="auto"/>
              <w:right w:val="single" w:sz="6" w:space="0" w:color="auto"/>
            </w:tcBorders>
          </w:tcPr>
          <w:p w14:paraId="2F0EB87A" w14:textId="77777777" w:rsidR="00CF2186" w:rsidRDefault="00CF2186" w:rsidP="00717114">
            <w:pPr>
              <w:pStyle w:val="TableHeaderText"/>
            </w:pPr>
            <w:r>
              <w:t>See Page</w:t>
            </w:r>
          </w:p>
        </w:tc>
      </w:tr>
      <w:tr w:rsidR="00CF2186" w14:paraId="2F0EB87F" w14:textId="77777777" w:rsidTr="00717114">
        <w:trPr>
          <w:cantSplit/>
        </w:trPr>
        <w:tc>
          <w:tcPr>
            <w:tcW w:w="980" w:type="dxa"/>
            <w:tcBorders>
              <w:top w:val="single" w:sz="6" w:space="0" w:color="auto"/>
              <w:left w:val="single" w:sz="6" w:space="0" w:color="auto"/>
              <w:bottom w:val="single" w:sz="6" w:space="0" w:color="auto"/>
              <w:right w:val="single" w:sz="6" w:space="0" w:color="auto"/>
            </w:tcBorders>
          </w:tcPr>
          <w:p w14:paraId="2F0EB87C" w14:textId="77777777" w:rsidR="00CF2186" w:rsidRDefault="00CF2186" w:rsidP="00717114">
            <w:pPr>
              <w:pStyle w:val="TableText"/>
              <w:jc w:val="center"/>
            </w:pPr>
            <w:r>
              <w:t>1</w:t>
            </w:r>
          </w:p>
        </w:tc>
        <w:tc>
          <w:tcPr>
            <w:tcW w:w="5940" w:type="dxa"/>
            <w:tcBorders>
              <w:top w:val="single" w:sz="6" w:space="0" w:color="auto"/>
              <w:left w:val="single" w:sz="6" w:space="0" w:color="auto"/>
              <w:bottom w:val="single" w:sz="6" w:space="0" w:color="auto"/>
              <w:right w:val="single" w:sz="6" w:space="0" w:color="auto"/>
            </w:tcBorders>
          </w:tcPr>
          <w:p w14:paraId="2F0EB87D" w14:textId="77777777" w:rsidR="00CF2186" w:rsidRDefault="00F01742" w:rsidP="00717114">
            <w:pPr>
              <w:pStyle w:val="TableText"/>
            </w:pPr>
            <w:r>
              <w:t>Loan Topics</w:t>
            </w:r>
          </w:p>
        </w:tc>
        <w:tc>
          <w:tcPr>
            <w:tcW w:w="900" w:type="dxa"/>
            <w:tcBorders>
              <w:top w:val="single" w:sz="6" w:space="0" w:color="auto"/>
              <w:left w:val="single" w:sz="6" w:space="0" w:color="auto"/>
              <w:bottom w:val="single" w:sz="6" w:space="0" w:color="auto"/>
              <w:right w:val="single" w:sz="6" w:space="0" w:color="auto"/>
            </w:tcBorders>
          </w:tcPr>
          <w:p w14:paraId="2F0EB87E" w14:textId="77777777" w:rsidR="00CF2186" w:rsidRDefault="00F01742" w:rsidP="00717114">
            <w:pPr>
              <w:pStyle w:val="TableText"/>
              <w:jc w:val="center"/>
            </w:pPr>
            <w:r>
              <w:t>B-2</w:t>
            </w:r>
          </w:p>
        </w:tc>
      </w:tr>
      <w:tr w:rsidR="00CF2186" w14:paraId="2F0EB883" w14:textId="77777777" w:rsidTr="00717114">
        <w:trPr>
          <w:cantSplit/>
        </w:trPr>
        <w:tc>
          <w:tcPr>
            <w:tcW w:w="980" w:type="dxa"/>
            <w:tcBorders>
              <w:top w:val="single" w:sz="6" w:space="0" w:color="auto"/>
              <w:left w:val="single" w:sz="6" w:space="0" w:color="auto"/>
              <w:bottom w:val="single" w:sz="6" w:space="0" w:color="auto"/>
              <w:right w:val="single" w:sz="6" w:space="0" w:color="auto"/>
            </w:tcBorders>
          </w:tcPr>
          <w:p w14:paraId="2F0EB880" w14:textId="77777777" w:rsidR="00CF2186" w:rsidRDefault="00CF2186" w:rsidP="00717114">
            <w:pPr>
              <w:pStyle w:val="TableText"/>
              <w:ind w:left="540" w:hanging="540"/>
              <w:jc w:val="center"/>
            </w:pPr>
            <w:r>
              <w:t>2</w:t>
            </w:r>
          </w:p>
        </w:tc>
        <w:tc>
          <w:tcPr>
            <w:tcW w:w="5940" w:type="dxa"/>
            <w:tcBorders>
              <w:top w:val="single" w:sz="6" w:space="0" w:color="auto"/>
              <w:left w:val="single" w:sz="6" w:space="0" w:color="auto"/>
              <w:bottom w:val="single" w:sz="6" w:space="0" w:color="auto"/>
              <w:right w:val="single" w:sz="6" w:space="0" w:color="auto"/>
            </w:tcBorders>
          </w:tcPr>
          <w:p w14:paraId="2F0EB881" w14:textId="77777777" w:rsidR="00CF2186" w:rsidRDefault="00F01742" w:rsidP="00717114">
            <w:pPr>
              <w:pStyle w:val="TableText"/>
            </w:pPr>
            <w:r>
              <w:t xml:space="preserve">Date of Loan </w:t>
            </w:r>
          </w:p>
        </w:tc>
        <w:tc>
          <w:tcPr>
            <w:tcW w:w="900" w:type="dxa"/>
            <w:tcBorders>
              <w:top w:val="single" w:sz="6" w:space="0" w:color="auto"/>
              <w:left w:val="single" w:sz="6" w:space="0" w:color="auto"/>
              <w:bottom w:val="single" w:sz="6" w:space="0" w:color="auto"/>
              <w:right w:val="single" w:sz="6" w:space="0" w:color="auto"/>
            </w:tcBorders>
          </w:tcPr>
          <w:p w14:paraId="2F0EB882" w14:textId="77777777" w:rsidR="00CF2186" w:rsidRDefault="00F01742" w:rsidP="00717114">
            <w:pPr>
              <w:pStyle w:val="TableText"/>
              <w:jc w:val="center"/>
            </w:pPr>
            <w:r>
              <w:t>B-3</w:t>
            </w:r>
          </w:p>
        </w:tc>
      </w:tr>
      <w:tr w:rsidR="00CF2186" w14:paraId="2F0EB887" w14:textId="77777777" w:rsidTr="00717114">
        <w:trPr>
          <w:cantSplit/>
        </w:trPr>
        <w:tc>
          <w:tcPr>
            <w:tcW w:w="980" w:type="dxa"/>
            <w:tcBorders>
              <w:top w:val="single" w:sz="6" w:space="0" w:color="auto"/>
              <w:left w:val="single" w:sz="6" w:space="0" w:color="auto"/>
              <w:bottom w:val="single" w:sz="6" w:space="0" w:color="auto"/>
              <w:right w:val="single" w:sz="6" w:space="0" w:color="auto"/>
            </w:tcBorders>
          </w:tcPr>
          <w:p w14:paraId="2F0EB884" w14:textId="77777777" w:rsidR="00CF2186" w:rsidRDefault="00CF2186" w:rsidP="00717114">
            <w:pPr>
              <w:pStyle w:val="TableText"/>
              <w:jc w:val="center"/>
            </w:pPr>
            <w:r>
              <w:t>3</w:t>
            </w:r>
          </w:p>
        </w:tc>
        <w:tc>
          <w:tcPr>
            <w:tcW w:w="5940" w:type="dxa"/>
            <w:tcBorders>
              <w:top w:val="single" w:sz="6" w:space="0" w:color="auto"/>
              <w:left w:val="single" w:sz="6" w:space="0" w:color="auto"/>
              <w:bottom w:val="single" w:sz="6" w:space="0" w:color="auto"/>
              <w:right w:val="single" w:sz="6" w:space="0" w:color="auto"/>
            </w:tcBorders>
          </w:tcPr>
          <w:p w14:paraId="2F0EB885" w14:textId="77777777" w:rsidR="00CF2186" w:rsidRDefault="00F01742" w:rsidP="00717114">
            <w:pPr>
              <w:pStyle w:val="TableText"/>
            </w:pPr>
            <w:r>
              <w:t>Types of Liability Reviews</w:t>
            </w:r>
          </w:p>
        </w:tc>
        <w:tc>
          <w:tcPr>
            <w:tcW w:w="900" w:type="dxa"/>
            <w:tcBorders>
              <w:top w:val="single" w:sz="6" w:space="0" w:color="auto"/>
              <w:left w:val="single" w:sz="6" w:space="0" w:color="auto"/>
              <w:bottom w:val="single" w:sz="6" w:space="0" w:color="auto"/>
              <w:right w:val="single" w:sz="6" w:space="0" w:color="auto"/>
            </w:tcBorders>
          </w:tcPr>
          <w:p w14:paraId="2F0EB886" w14:textId="77777777" w:rsidR="00CF2186" w:rsidRDefault="00F42651" w:rsidP="00717114">
            <w:pPr>
              <w:pStyle w:val="TableText"/>
              <w:jc w:val="center"/>
            </w:pPr>
            <w:r>
              <w:t>B-4</w:t>
            </w:r>
          </w:p>
        </w:tc>
      </w:tr>
      <w:tr w:rsidR="00CF2186" w14:paraId="2F0EB88B" w14:textId="77777777" w:rsidTr="00717114">
        <w:trPr>
          <w:cantSplit/>
        </w:trPr>
        <w:tc>
          <w:tcPr>
            <w:tcW w:w="980" w:type="dxa"/>
            <w:tcBorders>
              <w:top w:val="single" w:sz="6" w:space="0" w:color="auto"/>
              <w:left w:val="single" w:sz="6" w:space="0" w:color="auto"/>
              <w:bottom w:val="single" w:sz="6" w:space="0" w:color="auto"/>
              <w:right w:val="single" w:sz="6" w:space="0" w:color="auto"/>
            </w:tcBorders>
          </w:tcPr>
          <w:p w14:paraId="2F0EB888" w14:textId="77777777" w:rsidR="00CF2186" w:rsidRDefault="00CF2186" w:rsidP="00717114">
            <w:pPr>
              <w:pStyle w:val="TableText"/>
              <w:jc w:val="center"/>
            </w:pPr>
            <w:r>
              <w:t>4</w:t>
            </w:r>
          </w:p>
        </w:tc>
        <w:tc>
          <w:tcPr>
            <w:tcW w:w="5940" w:type="dxa"/>
            <w:tcBorders>
              <w:top w:val="single" w:sz="6" w:space="0" w:color="auto"/>
              <w:left w:val="single" w:sz="6" w:space="0" w:color="auto"/>
              <w:bottom w:val="single" w:sz="6" w:space="0" w:color="auto"/>
              <w:right w:val="single" w:sz="6" w:space="0" w:color="auto"/>
            </w:tcBorders>
          </w:tcPr>
          <w:p w14:paraId="2F0EB889" w14:textId="77777777" w:rsidR="00CF2186" w:rsidRDefault="00F01742" w:rsidP="00717114">
            <w:pPr>
              <w:pStyle w:val="TableText"/>
            </w:pPr>
            <w:r>
              <w:t>General Guidelines</w:t>
            </w:r>
          </w:p>
        </w:tc>
        <w:tc>
          <w:tcPr>
            <w:tcW w:w="900" w:type="dxa"/>
            <w:tcBorders>
              <w:top w:val="single" w:sz="6" w:space="0" w:color="auto"/>
              <w:left w:val="single" w:sz="6" w:space="0" w:color="auto"/>
              <w:bottom w:val="single" w:sz="6" w:space="0" w:color="auto"/>
              <w:right w:val="single" w:sz="6" w:space="0" w:color="auto"/>
            </w:tcBorders>
          </w:tcPr>
          <w:p w14:paraId="2F0EB88A" w14:textId="77777777" w:rsidR="00CF2186" w:rsidRDefault="00F42651" w:rsidP="00717114">
            <w:pPr>
              <w:pStyle w:val="TableText"/>
              <w:jc w:val="center"/>
            </w:pPr>
            <w:r>
              <w:t>B-5</w:t>
            </w:r>
          </w:p>
        </w:tc>
      </w:tr>
      <w:tr w:rsidR="00A75FB9" w14:paraId="6EE9A5E6" w14:textId="77777777" w:rsidTr="00A75FB9">
        <w:trPr>
          <w:cantSplit/>
          <w:trHeight w:val="390"/>
        </w:trPr>
        <w:tc>
          <w:tcPr>
            <w:tcW w:w="7820" w:type="dxa"/>
            <w:gridSpan w:val="3"/>
            <w:tcBorders>
              <w:top w:val="single" w:sz="6" w:space="0" w:color="auto"/>
              <w:bottom w:val="nil"/>
            </w:tcBorders>
          </w:tcPr>
          <w:p w14:paraId="38E61CBF" w14:textId="3EDEFE82" w:rsidR="00A75FB9" w:rsidRDefault="00A75FB9" w:rsidP="00A75FB9">
            <w:pPr>
              <w:pStyle w:val="TableText"/>
              <w:jc w:val="center"/>
            </w:pPr>
          </w:p>
        </w:tc>
      </w:tr>
    </w:tbl>
    <w:p w14:paraId="2F0EB88C" w14:textId="576E9BF5" w:rsidR="00CF2186" w:rsidRDefault="00CF2186" w:rsidP="00A75FB9">
      <w:pPr>
        <w:pStyle w:val="BlockLine"/>
        <w:pBdr>
          <w:top w:val="single" w:sz="6" w:space="0" w:color="auto"/>
        </w:pBdr>
        <w:ind w:right="-180"/>
      </w:pPr>
    </w:p>
    <w:p w14:paraId="2F0EB88D" w14:textId="77777777" w:rsidR="00CF2186" w:rsidRDefault="00CF2186" w:rsidP="00CF2186"/>
    <w:p w14:paraId="2F0EB88E" w14:textId="09217D71" w:rsidR="00CF2186" w:rsidRPr="00430654" w:rsidRDefault="00CF2186" w:rsidP="00F01742">
      <w:pPr>
        <w:pStyle w:val="Heading4"/>
        <w:rPr>
          <w:rFonts w:cs="Arial"/>
          <w:szCs w:val="32"/>
        </w:rPr>
      </w:pPr>
      <w:r>
        <w:br w:type="page"/>
      </w:r>
      <w:r w:rsidR="00D76FBA">
        <w:lastRenderedPageBreak/>
        <w:t xml:space="preserve">1.  </w:t>
      </w:r>
      <w:r w:rsidR="00F01742">
        <w:rPr>
          <w:rFonts w:cs="Arial"/>
          <w:szCs w:val="32"/>
        </w:rPr>
        <w:t>Loan Topics</w:t>
      </w:r>
    </w:p>
    <w:p w14:paraId="2F0EB88F" w14:textId="77777777" w:rsidR="00CF2186" w:rsidRDefault="00CF2186" w:rsidP="00CF2186">
      <w:pPr>
        <w:pStyle w:val="BlockLine"/>
      </w:pPr>
      <w:r>
        <w:t xml:space="preserve"> </w:t>
      </w:r>
    </w:p>
    <w:tbl>
      <w:tblPr>
        <w:tblW w:w="0" w:type="auto"/>
        <w:tblLayout w:type="fixed"/>
        <w:tblLook w:val="04A0" w:firstRow="1" w:lastRow="0" w:firstColumn="1" w:lastColumn="0" w:noHBand="0" w:noVBand="1"/>
      </w:tblPr>
      <w:tblGrid>
        <w:gridCol w:w="1728"/>
        <w:gridCol w:w="7740"/>
      </w:tblGrid>
      <w:tr w:rsidR="00C752B4" w14:paraId="2F0EB893" w14:textId="77777777" w:rsidTr="00C752B4">
        <w:trPr>
          <w:cantSplit/>
        </w:trPr>
        <w:tc>
          <w:tcPr>
            <w:tcW w:w="1728" w:type="dxa"/>
            <w:hideMark/>
          </w:tcPr>
          <w:p w14:paraId="2F0EB890" w14:textId="77777777" w:rsidR="00C752B4" w:rsidRPr="001D4876" w:rsidRDefault="001D4876">
            <w:pPr>
              <w:pStyle w:val="Heading5"/>
              <w:spacing w:line="276" w:lineRule="auto"/>
              <w:rPr>
                <w:sz w:val="23"/>
                <w:szCs w:val="23"/>
              </w:rPr>
            </w:pPr>
            <w:r>
              <w:rPr>
                <w:sz w:val="23"/>
                <w:szCs w:val="23"/>
              </w:rPr>
              <w:t>Change D</w:t>
            </w:r>
            <w:r w:rsidR="00C752B4" w:rsidRPr="001D4876">
              <w:rPr>
                <w:sz w:val="23"/>
                <w:szCs w:val="23"/>
              </w:rPr>
              <w:t>ate</w:t>
            </w:r>
          </w:p>
        </w:tc>
        <w:tc>
          <w:tcPr>
            <w:tcW w:w="7740" w:type="dxa"/>
            <w:hideMark/>
          </w:tcPr>
          <w:p w14:paraId="2F0EB891" w14:textId="19B3AA70" w:rsidR="00A7756A" w:rsidRDefault="00023199" w:rsidP="00A7756A">
            <w:pPr>
              <w:pStyle w:val="BlockText"/>
            </w:pPr>
            <w:r>
              <w:t>January 25, 2016</w:t>
            </w:r>
          </w:p>
          <w:p w14:paraId="2F0EB892" w14:textId="77777777" w:rsidR="00C752B4" w:rsidRDefault="00F01742" w:rsidP="00D34E22">
            <w:pPr>
              <w:pStyle w:val="BulletText1"/>
              <w:numPr>
                <w:ilvl w:val="0"/>
                <w:numId w:val="14"/>
              </w:numPr>
              <w:tabs>
                <w:tab w:val="clear" w:pos="187"/>
                <w:tab w:val="clear" w:pos="360"/>
              </w:tabs>
              <w:spacing w:line="276" w:lineRule="auto"/>
              <w:ind w:left="342" w:hanging="342"/>
              <w:rPr>
                <w:sz w:val="23"/>
                <w:szCs w:val="23"/>
              </w:rPr>
            </w:pPr>
            <w:r>
              <w:rPr>
                <w:sz w:val="23"/>
                <w:szCs w:val="23"/>
              </w:rPr>
              <w:t>This is a new section.</w:t>
            </w:r>
          </w:p>
        </w:tc>
      </w:tr>
    </w:tbl>
    <w:p w14:paraId="2F0EB894" w14:textId="77777777" w:rsidR="00C752B4" w:rsidRDefault="00C752B4" w:rsidP="00C752B4">
      <w:pPr>
        <w:pStyle w:val="BlockLine"/>
        <w:rPr>
          <w:sz w:val="23"/>
          <w:szCs w:val="23"/>
        </w:rPr>
      </w:pPr>
      <w:r>
        <w:rPr>
          <w:sz w:val="23"/>
          <w:szCs w:val="23"/>
        </w:rPr>
        <w:t xml:space="preserve">  </w:t>
      </w:r>
    </w:p>
    <w:tbl>
      <w:tblPr>
        <w:tblW w:w="0" w:type="auto"/>
        <w:tblLayout w:type="fixed"/>
        <w:tblLook w:val="0000" w:firstRow="0" w:lastRow="0" w:firstColumn="0" w:lastColumn="0" w:noHBand="0" w:noVBand="0"/>
      </w:tblPr>
      <w:tblGrid>
        <w:gridCol w:w="1728"/>
        <w:gridCol w:w="7740"/>
      </w:tblGrid>
      <w:tr w:rsidR="00CF2186" w14:paraId="2F0EB898" w14:textId="77777777" w:rsidTr="00717114">
        <w:trPr>
          <w:cantSplit/>
        </w:trPr>
        <w:tc>
          <w:tcPr>
            <w:tcW w:w="1728" w:type="dxa"/>
          </w:tcPr>
          <w:p w14:paraId="2F0EB895" w14:textId="77777777" w:rsidR="00CF2186" w:rsidRDefault="00CF2186" w:rsidP="00F01742">
            <w:pPr>
              <w:pStyle w:val="Heading5"/>
            </w:pPr>
            <w:proofErr w:type="gramStart"/>
            <w:r>
              <w:t xml:space="preserve">a. </w:t>
            </w:r>
            <w:r w:rsidR="00F01742">
              <w:t xml:space="preserve"> Loan</w:t>
            </w:r>
            <w:proofErr w:type="gramEnd"/>
            <w:r w:rsidR="00F01742">
              <w:t xml:space="preserve"> Type “2”</w:t>
            </w:r>
          </w:p>
        </w:tc>
        <w:tc>
          <w:tcPr>
            <w:tcW w:w="7740" w:type="dxa"/>
          </w:tcPr>
          <w:p w14:paraId="2F0EB896" w14:textId="77777777" w:rsidR="00F01742" w:rsidRDefault="00F01742" w:rsidP="00F01742">
            <w:pPr>
              <w:pStyle w:val="NumberedList1"/>
              <w:numPr>
                <w:ilvl w:val="0"/>
                <w:numId w:val="16"/>
              </w:numPr>
            </w:pPr>
            <w:r>
              <w:t>VA-guaranteed l</w:t>
            </w:r>
            <w:r w:rsidRPr="00505501">
              <w:t xml:space="preserve">oans made </w:t>
            </w:r>
            <w:r w:rsidRPr="00CD56B9">
              <w:rPr>
                <w:i/>
              </w:rPr>
              <w:t>prior</w:t>
            </w:r>
            <w:r>
              <w:t xml:space="preserve"> to January 1, 1990.</w:t>
            </w:r>
          </w:p>
          <w:p w14:paraId="2F0EB897" w14:textId="77777777" w:rsidR="00CF2186" w:rsidRDefault="00F01742" w:rsidP="00F01742">
            <w:pPr>
              <w:pStyle w:val="BlockText"/>
              <w:numPr>
                <w:ilvl w:val="0"/>
                <w:numId w:val="16"/>
              </w:numPr>
            </w:pPr>
            <w:r w:rsidRPr="00505501">
              <w:t xml:space="preserve">All VA-guaranteed </w:t>
            </w:r>
            <w:r>
              <w:t>m</w:t>
            </w:r>
            <w:r w:rsidRPr="00505501">
              <w:t xml:space="preserve">anufactured </w:t>
            </w:r>
            <w:r>
              <w:t>h</w:t>
            </w:r>
            <w:r w:rsidRPr="00505501">
              <w:t>o</w:t>
            </w:r>
            <w:bookmarkStart w:id="0" w:name="_GoBack"/>
            <w:bookmarkEnd w:id="0"/>
            <w:r w:rsidRPr="00505501">
              <w:t xml:space="preserve">me </w:t>
            </w:r>
            <w:r>
              <w:t>l</w:t>
            </w:r>
            <w:r w:rsidRPr="00505501">
              <w:t>oans</w:t>
            </w:r>
            <w:r>
              <w:t xml:space="preserve"> that are not permanently affixed.</w:t>
            </w:r>
          </w:p>
        </w:tc>
      </w:tr>
    </w:tbl>
    <w:p w14:paraId="2F0EB899" w14:textId="77777777" w:rsidR="00CF2186" w:rsidRDefault="00CF2186" w:rsidP="00CF2186">
      <w:pPr>
        <w:pStyle w:val="BlockLine"/>
      </w:pPr>
      <w:r>
        <w:t xml:space="preserve"> </w:t>
      </w:r>
    </w:p>
    <w:tbl>
      <w:tblPr>
        <w:tblW w:w="0" w:type="auto"/>
        <w:tblLayout w:type="fixed"/>
        <w:tblLook w:val="0000" w:firstRow="0" w:lastRow="0" w:firstColumn="0" w:lastColumn="0" w:noHBand="0" w:noVBand="0"/>
      </w:tblPr>
      <w:tblGrid>
        <w:gridCol w:w="1728"/>
        <w:gridCol w:w="7740"/>
      </w:tblGrid>
      <w:tr w:rsidR="00CF2186" w14:paraId="2F0EB89C" w14:textId="77777777" w:rsidTr="00717114">
        <w:trPr>
          <w:cantSplit/>
        </w:trPr>
        <w:tc>
          <w:tcPr>
            <w:tcW w:w="1728" w:type="dxa"/>
          </w:tcPr>
          <w:p w14:paraId="2F0EB89A" w14:textId="77777777" w:rsidR="00CF2186" w:rsidRDefault="00CF2186" w:rsidP="00F01742">
            <w:pPr>
              <w:pStyle w:val="Heading5"/>
            </w:pPr>
            <w:r>
              <w:t xml:space="preserve">b. </w:t>
            </w:r>
            <w:r w:rsidR="00F01742">
              <w:t>Loan Type “6”</w:t>
            </w:r>
          </w:p>
        </w:tc>
        <w:tc>
          <w:tcPr>
            <w:tcW w:w="7740" w:type="dxa"/>
          </w:tcPr>
          <w:p w14:paraId="2F0EB89B" w14:textId="77777777" w:rsidR="00CF2186" w:rsidRDefault="00F01742" w:rsidP="004568D0">
            <w:pPr>
              <w:pStyle w:val="BlockText"/>
              <w:numPr>
                <w:ilvl w:val="12"/>
                <w:numId w:val="0"/>
              </w:numPr>
            </w:pPr>
            <w:r>
              <w:t>VA-guaranteed l</w:t>
            </w:r>
            <w:r w:rsidRPr="00505501">
              <w:t xml:space="preserve">oans made </w:t>
            </w:r>
            <w:r w:rsidRPr="00CD56B9">
              <w:rPr>
                <w:i/>
              </w:rPr>
              <w:t>on or after</w:t>
            </w:r>
            <w:r w:rsidRPr="00505501">
              <w:t xml:space="preserve"> January 1, 1990, known as Guaranty and Indemnity Fund</w:t>
            </w:r>
            <w:r>
              <w:t xml:space="preserve"> (GIF) loans</w:t>
            </w:r>
          </w:p>
        </w:tc>
      </w:tr>
    </w:tbl>
    <w:p w14:paraId="2F0EB89D" w14:textId="77777777" w:rsidR="00CF2186" w:rsidRDefault="00CF2186" w:rsidP="00CF2186">
      <w:pPr>
        <w:pStyle w:val="BlockLine"/>
      </w:pPr>
    </w:p>
    <w:p w14:paraId="2F0EB89E" w14:textId="51DCBAFF" w:rsidR="00CF2186" w:rsidRPr="00430654" w:rsidRDefault="00CF2186" w:rsidP="00D76FBA">
      <w:pPr>
        <w:pStyle w:val="Heading3"/>
        <w:keepNext/>
        <w:keepLines/>
        <w:spacing w:after="0"/>
        <w:jc w:val="left"/>
        <w:rPr>
          <w:rFonts w:cs="Arial"/>
          <w:szCs w:val="32"/>
        </w:rPr>
      </w:pPr>
      <w:r>
        <w:br w:type="page"/>
      </w:r>
      <w:r w:rsidR="00D76FBA">
        <w:lastRenderedPageBreak/>
        <w:t xml:space="preserve">2. </w:t>
      </w:r>
      <w:r w:rsidR="00F01742">
        <w:rPr>
          <w:rFonts w:cs="Arial"/>
          <w:szCs w:val="32"/>
        </w:rPr>
        <w:t>Date of Loan</w:t>
      </w:r>
    </w:p>
    <w:p w14:paraId="2F0EB89F" w14:textId="77777777" w:rsidR="00C752B4" w:rsidRDefault="00CF2186" w:rsidP="00CF2186">
      <w:pPr>
        <w:pStyle w:val="BlockLine"/>
      </w:pPr>
      <w:r>
        <w:t xml:space="preserve">  </w:t>
      </w:r>
    </w:p>
    <w:tbl>
      <w:tblPr>
        <w:tblW w:w="0" w:type="auto"/>
        <w:tblLayout w:type="fixed"/>
        <w:tblLook w:val="04A0" w:firstRow="1" w:lastRow="0" w:firstColumn="1" w:lastColumn="0" w:noHBand="0" w:noVBand="1"/>
      </w:tblPr>
      <w:tblGrid>
        <w:gridCol w:w="1728"/>
        <w:gridCol w:w="7740"/>
      </w:tblGrid>
      <w:tr w:rsidR="00C752B4" w:rsidRPr="00C752B4" w14:paraId="2F0EB8A3" w14:textId="77777777" w:rsidTr="00C752B4">
        <w:trPr>
          <w:cantSplit/>
        </w:trPr>
        <w:tc>
          <w:tcPr>
            <w:tcW w:w="1728" w:type="dxa"/>
            <w:hideMark/>
          </w:tcPr>
          <w:p w14:paraId="2F0EB8A0" w14:textId="77777777" w:rsidR="00C752B4" w:rsidRPr="001D4876" w:rsidRDefault="00C752B4">
            <w:pPr>
              <w:pStyle w:val="Heading5"/>
              <w:spacing w:line="276" w:lineRule="auto"/>
              <w:rPr>
                <w:sz w:val="23"/>
                <w:szCs w:val="23"/>
              </w:rPr>
            </w:pPr>
            <w:r w:rsidRPr="001D4876">
              <w:rPr>
                <w:sz w:val="23"/>
                <w:szCs w:val="23"/>
              </w:rPr>
              <w:t>Change date</w:t>
            </w:r>
          </w:p>
        </w:tc>
        <w:tc>
          <w:tcPr>
            <w:tcW w:w="7740" w:type="dxa"/>
            <w:hideMark/>
          </w:tcPr>
          <w:p w14:paraId="2F0EB8A1" w14:textId="45D62999" w:rsidR="00A7756A" w:rsidRDefault="00023199" w:rsidP="00A7756A">
            <w:pPr>
              <w:pStyle w:val="BlockText"/>
            </w:pPr>
            <w:r>
              <w:t>January 25, 2016</w:t>
            </w:r>
          </w:p>
          <w:p w14:paraId="2F0EB8A2" w14:textId="77777777" w:rsidR="00C752B4" w:rsidRPr="00C752B4" w:rsidRDefault="00C752B4" w:rsidP="00D76FBA">
            <w:pPr>
              <w:pStyle w:val="BulletText1"/>
              <w:numPr>
                <w:ilvl w:val="0"/>
                <w:numId w:val="13"/>
              </w:numPr>
              <w:tabs>
                <w:tab w:val="clear" w:pos="187"/>
                <w:tab w:val="clear" w:pos="360"/>
              </w:tabs>
              <w:spacing w:line="276" w:lineRule="auto"/>
              <w:ind w:left="342" w:hanging="342"/>
              <w:rPr>
                <w:sz w:val="23"/>
                <w:szCs w:val="23"/>
              </w:rPr>
            </w:pPr>
            <w:r w:rsidRPr="00C752B4">
              <w:rPr>
                <w:sz w:val="23"/>
                <w:szCs w:val="23"/>
              </w:rPr>
              <w:t xml:space="preserve">This </w:t>
            </w:r>
            <w:r w:rsidR="00F01742">
              <w:rPr>
                <w:sz w:val="23"/>
                <w:szCs w:val="23"/>
              </w:rPr>
              <w:t>is a new section.</w:t>
            </w:r>
          </w:p>
        </w:tc>
      </w:tr>
    </w:tbl>
    <w:p w14:paraId="2F0EB8A4" w14:textId="77777777" w:rsidR="00CF2186" w:rsidRDefault="00C752B4" w:rsidP="00C752B4">
      <w:pPr>
        <w:pStyle w:val="BlockLine"/>
        <w:rPr>
          <w:sz w:val="23"/>
          <w:szCs w:val="23"/>
        </w:rPr>
      </w:pPr>
      <w:r w:rsidRPr="00C752B4">
        <w:rPr>
          <w:sz w:val="23"/>
          <w:szCs w:val="23"/>
        </w:rPr>
        <w:t xml:space="preserve">  </w:t>
      </w:r>
    </w:p>
    <w:p w14:paraId="0AD32501" w14:textId="77777777" w:rsidR="00435CFC" w:rsidRPr="00435CFC" w:rsidRDefault="00435CFC" w:rsidP="00435CFC"/>
    <w:tbl>
      <w:tblPr>
        <w:tblW w:w="0" w:type="auto"/>
        <w:tblLayout w:type="fixed"/>
        <w:tblLook w:val="0000" w:firstRow="0" w:lastRow="0" w:firstColumn="0" w:lastColumn="0" w:noHBand="0" w:noVBand="0"/>
      </w:tblPr>
      <w:tblGrid>
        <w:gridCol w:w="1728"/>
        <w:gridCol w:w="7740"/>
      </w:tblGrid>
      <w:tr w:rsidR="00CF2186" w:rsidRPr="00C752B4" w14:paraId="2F0EB8A7" w14:textId="77777777" w:rsidTr="00717114">
        <w:trPr>
          <w:cantSplit/>
        </w:trPr>
        <w:tc>
          <w:tcPr>
            <w:tcW w:w="1728" w:type="dxa"/>
          </w:tcPr>
          <w:p w14:paraId="2F0EB8A5" w14:textId="77777777" w:rsidR="00CF2186" w:rsidRPr="00C752B4" w:rsidRDefault="00CF2186" w:rsidP="00DA152A">
            <w:pPr>
              <w:pStyle w:val="Heading5"/>
              <w:rPr>
                <w:sz w:val="23"/>
                <w:szCs w:val="23"/>
              </w:rPr>
            </w:pPr>
            <w:r w:rsidRPr="00C752B4">
              <w:rPr>
                <w:sz w:val="23"/>
                <w:szCs w:val="23"/>
              </w:rPr>
              <w:t xml:space="preserve">a. </w:t>
            </w:r>
            <w:r w:rsidR="00F01742" w:rsidRPr="00F01742">
              <w:t>VA-</w:t>
            </w:r>
            <w:r w:rsidR="00DA152A">
              <w:t>G</w:t>
            </w:r>
            <w:r w:rsidR="00F01742" w:rsidRPr="00F01742">
              <w:rPr>
                <w:rStyle w:val="Heading5Char"/>
                <w:b/>
              </w:rPr>
              <w:t>uaranteed Loans Made Prior to March 1, 1988</w:t>
            </w:r>
          </w:p>
        </w:tc>
        <w:tc>
          <w:tcPr>
            <w:tcW w:w="7740" w:type="dxa"/>
          </w:tcPr>
          <w:p w14:paraId="6FCB3D82" w14:textId="77777777" w:rsidR="00CF2186" w:rsidRDefault="00F01742" w:rsidP="00F01742">
            <w:pPr>
              <w:tabs>
                <w:tab w:val="left" w:pos="187"/>
              </w:tabs>
            </w:pPr>
            <w:r w:rsidRPr="001071DF">
              <w:t xml:space="preserve">Per </w:t>
            </w:r>
            <w:hyperlink r:id="rId12" w:history="1">
              <w:r w:rsidRPr="001071DF">
                <w:rPr>
                  <w:rStyle w:val="Hyperlink"/>
                  <w:color w:val="000000"/>
                </w:rPr>
                <w:t>38 U</w:t>
              </w:r>
              <w:r w:rsidR="00DA152A">
                <w:rPr>
                  <w:rStyle w:val="Hyperlink"/>
                  <w:color w:val="000000"/>
                </w:rPr>
                <w:t>.</w:t>
              </w:r>
              <w:r w:rsidRPr="001071DF">
                <w:rPr>
                  <w:rStyle w:val="Hyperlink"/>
                  <w:color w:val="000000"/>
                </w:rPr>
                <w:t>S</w:t>
              </w:r>
              <w:r w:rsidR="00DA152A">
                <w:rPr>
                  <w:rStyle w:val="Hyperlink"/>
                  <w:color w:val="000000"/>
                </w:rPr>
                <w:t>.</w:t>
              </w:r>
              <w:r w:rsidRPr="001071DF">
                <w:rPr>
                  <w:rStyle w:val="Hyperlink"/>
                  <w:color w:val="000000"/>
                </w:rPr>
                <w:t>C</w:t>
              </w:r>
              <w:r w:rsidR="00DA152A">
                <w:rPr>
                  <w:rStyle w:val="Hyperlink"/>
                  <w:color w:val="000000"/>
                </w:rPr>
                <w:t>.</w:t>
              </w:r>
              <w:r w:rsidRPr="001071DF">
                <w:rPr>
                  <w:rStyle w:val="Hyperlink"/>
                  <w:color w:val="000000"/>
                </w:rPr>
                <w:t xml:space="preserve"> 3713 (a) and (b)</w:t>
              </w:r>
            </w:hyperlink>
            <w:r w:rsidRPr="001071DF">
              <w:t>, these loans do not require VA or servicer approval before the property is transferred.  Veterans may sell their home and allow the purchaser to “take over” the payments on the loan even if the purchaser does not specifically assume the mortgage obligation or agree to indemnify VA to the extent of any claim paid under the guaranty.  The original Veteran remains liable to VA for any loss to the government caused by the transferee’s default and subsequent termination of the loan.  These loans are commonly known as non-qualifying loans.</w:t>
            </w:r>
          </w:p>
          <w:p w14:paraId="2F0EB8A6" w14:textId="77777777" w:rsidR="00673BCA" w:rsidRPr="00C752B4" w:rsidRDefault="00673BCA" w:rsidP="00F01742">
            <w:pPr>
              <w:tabs>
                <w:tab w:val="left" w:pos="187"/>
              </w:tabs>
              <w:rPr>
                <w:sz w:val="23"/>
                <w:szCs w:val="23"/>
              </w:rPr>
            </w:pPr>
          </w:p>
        </w:tc>
      </w:tr>
    </w:tbl>
    <w:p w14:paraId="2F0EB8A8" w14:textId="77777777" w:rsidR="00CF2186" w:rsidRPr="00C752B4" w:rsidRDefault="00CF2186" w:rsidP="00CF2186">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CF2186" w:rsidRPr="00C752B4" w14:paraId="2F0EB8AB" w14:textId="77777777" w:rsidTr="00717114">
        <w:trPr>
          <w:cantSplit/>
        </w:trPr>
        <w:tc>
          <w:tcPr>
            <w:tcW w:w="1728" w:type="dxa"/>
          </w:tcPr>
          <w:p w14:paraId="2F0EB8A9" w14:textId="77777777" w:rsidR="00CF2186" w:rsidRPr="00C752B4" w:rsidRDefault="004568D0" w:rsidP="00717114">
            <w:pPr>
              <w:pStyle w:val="Heading5"/>
              <w:numPr>
                <w:ilvl w:val="12"/>
                <w:numId w:val="0"/>
              </w:numPr>
              <w:rPr>
                <w:sz w:val="23"/>
                <w:szCs w:val="23"/>
              </w:rPr>
            </w:pPr>
            <w:r w:rsidRPr="00C752B4">
              <w:rPr>
                <w:sz w:val="23"/>
                <w:szCs w:val="23"/>
              </w:rPr>
              <w:t xml:space="preserve">b. </w:t>
            </w:r>
            <w:r w:rsidR="00DA152A">
              <w:t>VA-G</w:t>
            </w:r>
            <w:r w:rsidR="00F01742">
              <w:t>uaranteed Loans Made on or A</w:t>
            </w:r>
            <w:r w:rsidR="00F01742" w:rsidRPr="00C52CBE">
              <w:t>fter March 1, 1988</w:t>
            </w:r>
          </w:p>
        </w:tc>
        <w:tc>
          <w:tcPr>
            <w:tcW w:w="7740" w:type="dxa"/>
          </w:tcPr>
          <w:p w14:paraId="6867C3B1" w14:textId="77777777" w:rsidR="00CF2186" w:rsidRDefault="00F01742" w:rsidP="00F01742">
            <w:pPr>
              <w:tabs>
                <w:tab w:val="left" w:pos="187"/>
              </w:tabs>
            </w:pPr>
            <w:r w:rsidRPr="001071DF">
              <w:t xml:space="preserve">Per </w:t>
            </w:r>
            <w:hyperlink r:id="rId13" w:history="1">
              <w:r w:rsidRPr="001071DF">
                <w:rPr>
                  <w:rStyle w:val="Hyperlink"/>
                  <w:color w:val="000000"/>
                </w:rPr>
                <w:t>38 U</w:t>
              </w:r>
              <w:r w:rsidR="00DA152A">
                <w:rPr>
                  <w:rStyle w:val="Hyperlink"/>
                  <w:color w:val="000000"/>
                </w:rPr>
                <w:t>.</w:t>
              </w:r>
              <w:r w:rsidRPr="001071DF">
                <w:rPr>
                  <w:rStyle w:val="Hyperlink"/>
                  <w:color w:val="000000"/>
                </w:rPr>
                <w:t>S</w:t>
              </w:r>
              <w:r w:rsidR="00DA152A">
                <w:rPr>
                  <w:rStyle w:val="Hyperlink"/>
                  <w:color w:val="000000"/>
                </w:rPr>
                <w:t>.</w:t>
              </w:r>
              <w:r w:rsidRPr="001071DF">
                <w:rPr>
                  <w:rStyle w:val="Hyperlink"/>
                  <w:color w:val="000000"/>
                </w:rPr>
                <w:t>C</w:t>
              </w:r>
              <w:r w:rsidR="00DA152A">
                <w:rPr>
                  <w:rStyle w:val="Hyperlink"/>
                  <w:color w:val="000000"/>
                </w:rPr>
                <w:t>.</w:t>
              </w:r>
              <w:r w:rsidRPr="001071DF">
                <w:rPr>
                  <w:rStyle w:val="Hyperlink"/>
                  <w:color w:val="000000"/>
                </w:rPr>
                <w:t xml:space="preserve"> 3714</w:t>
              </w:r>
            </w:hyperlink>
            <w:r w:rsidRPr="001071DF">
              <w:t>, these loans are not freely assumable.  All assumptions must be approved in advance.  In most cases the prior approval will release the selling Veteran from further liability on the loan.  The exception to this rule occurs when the approval is granted only because the seller is unable to make further payments and the assumption is intended to prevent foreclosure.</w:t>
            </w:r>
          </w:p>
          <w:p w14:paraId="2F0EB8AA" w14:textId="77777777" w:rsidR="00673BCA" w:rsidRPr="00C752B4" w:rsidRDefault="00673BCA" w:rsidP="00F01742">
            <w:pPr>
              <w:tabs>
                <w:tab w:val="left" w:pos="187"/>
              </w:tabs>
              <w:rPr>
                <w:sz w:val="23"/>
                <w:szCs w:val="23"/>
              </w:rPr>
            </w:pPr>
          </w:p>
        </w:tc>
      </w:tr>
    </w:tbl>
    <w:p w14:paraId="2F0EB8AC" w14:textId="77777777" w:rsidR="00C752B4" w:rsidRDefault="00C752B4" w:rsidP="00C752B4">
      <w:pPr>
        <w:pStyle w:val="BlockLine"/>
        <w:numPr>
          <w:ilvl w:val="12"/>
          <w:numId w:val="0"/>
        </w:numPr>
        <w:ind w:left="1700"/>
        <w:jc w:val="right"/>
        <w:rPr>
          <w:i/>
          <w:sz w:val="23"/>
          <w:szCs w:val="23"/>
        </w:rPr>
      </w:pPr>
    </w:p>
    <w:p w14:paraId="7FF6BA62" w14:textId="77777777" w:rsidR="00435CFC" w:rsidRPr="00435CFC" w:rsidRDefault="00435CFC" w:rsidP="00435CFC"/>
    <w:tbl>
      <w:tblPr>
        <w:tblW w:w="0" w:type="auto"/>
        <w:tblLayout w:type="fixed"/>
        <w:tblLook w:val="0000" w:firstRow="0" w:lastRow="0" w:firstColumn="0" w:lastColumn="0" w:noHBand="0" w:noVBand="0"/>
      </w:tblPr>
      <w:tblGrid>
        <w:gridCol w:w="1728"/>
        <w:gridCol w:w="7740"/>
      </w:tblGrid>
      <w:tr w:rsidR="00CF2186" w:rsidRPr="00C752B4" w14:paraId="2F0EB8AF" w14:textId="77777777" w:rsidTr="00673BCA">
        <w:trPr>
          <w:cantSplit/>
          <w:trHeight w:val="2088"/>
        </w:trPr>
        <w:tc>
          <w:tcPr>
            <w:tcW w:w="1728" w:type="dxa"/>
          </w:tcPr>
          <w:p w14:paraId="2F0EB8AD" w14:textId="366B3047" w:rsidR="00CF2186" w:rsidRPr="00C752B4" w:rsidRDefault="00F01742" w:rsidP="00717114">
            <w:pPr>
              <w:pStyle w:val="Heading5"/>
              <w:numPr>
                <w:ilvl w:val="12"/>
                <w:numId w:val="0"/>
              </w:numPr>
              <w:rPr>
                <w:sz w:val="23"/>
                <w:szCs w:val="23"/>
              </w:rPr>
            </w:pPr>
            <w:r>
              <w:t>c. VA-</w:t>
            </w:r>
            <w:r w:rsidR="00B756C6">
              <w:t>G</w:t>
            </w:r>
            <w:r>
              <w:t>uaranteed Loans Closed on or After January 1, 1990, With the Exception of Manufactured Home L</w:t>
            </w:r>
            <w:r w:rsidR="00DA152A">
              <w:t>oans</w:t>
            </w:r>
          </w:p>
        </w:tc>
        <w:tc>
          <w:tcPr>
            <w:tcW w:w="7740" w:type="dxa"/>
          </w:tcPr>
          <w:p w14:paraId="2F0EB8AE" w14:textId="219C80A1" w:rsidR="00CF2186" w:rsidRPr="00C752B4" w:rsidRDefault="00F01742" w:rsidP="0024176A">
            <w:pPr>
              <w:pStyle w:val="BlockText"/>
              <w:rPr>
                <w:sz w:val="23"/>
                <w:szCs w:val="23"/>
              </w:rPr>
            </w:pPr>
            <w:r w:rsidRPr="001071DF">
              <w:t xml:space="preserve">Per </w:t>
            </w:r>
            <w:hyperlink r:id="rId14" w:history="1">
              <w:r w:rsidRPr="001071DF">
                <w:rPr>
                  <w:rStyle w:val="Hyperlink"/>
                  <w:color w:val="000000"/>
                </w:rPr>
                <w:t>38 U</w:t>
              </w:r>
              <w:r w:rsidR="00DA152A">
                <w:rPr>
                  <w:rStyle w:val="Hyperlink"/>
                  <w:color w:val="000000"/>
                </w:rPr>
                <w:t>.</w:t>
              </w:r>
              <w:r w:rsidRPr="001071DF">
                <w:rPr>
                  <w:rStyle w:val="Hyperlink"/>
                  <w:color w:val="000000"/>
                </w:rPr>
                <w:t>S</w:t>
              </w:r>
              <w:r w:rsidR="00DA152A">
                <w:rPr>
                  <w:rStyle w:val="Hyperlink"/>
                  <w:color w:val="000000"/>
                </w:rPr>
                <w:t>.</w:t>
              </w:r>
              <w:r w:rsidRPr="001071DF">
                <w:rPr>
                  <w:rStyle w:val="Hyperlink"/>
                  <w:color w:val="000000"/>
                </w:rPr>
                <w:t>C</w:t>
              </w:r>
              <w:r w:rsidR="00DA152A">
                <w:rPr>
                  <w:rStyle w:val="Hyperlink"/>
                  <w:color w:val="000000"/>
                </w:rPr>
                <w:t>.</w:t>
              </w:r>
              <w:r w:rsidRPr="001071DF">
                <w:rPr>
                  <w:rStyle w:val="Hyperlink"/>
                  <w:color w:val="000000"/>
                </w:rPr>
                <w:t xml:space="preserve"> 3703(e)</w:t>
              </w:r>
            </w:hyperlink>
            <w:r w:rsidRPr="001071DF">
              <w:t xml:space="preserve">, these loans are known as </w:t>
            </w:r>
            <w:r w:rsidR="0024176A" w:rsidRPr="001071DF">
              <w:t xml:space="preserve">Guaranty and Indemnity Fund </w:t>
            </w:r>
            <w:r w:rsidR="0024176A">
              <w:t>(</w:t>
            </w:r>
            <w:r w:rsidRPr="001071DF">
              <w:t>GIF</w:t>
            </w:r>
            <w:r w:rsidR="0024176A">
              <w:t xml:space="preserve">) </w:t>
            </w:r>
            <w:r w:rsidRPr="001071DF">
              <w:t>loans.  GIF loans generally eliminate the Veteran’s liability to repay VA for claims paid under guaranty.  Original Veteran-borrowers remain liable only in cases involving fraud, misrepresentation</w:t>
            </w:r>
            <w:r w:rsidR="00DA152A">
              <w:t>,</w:t>
            </w:r>
            <w:r w:rsidRPr="001071DF">
              <w:t xml:space="preserve"> or bad faith.  In these cases, the burden of proof is on VA.  Transferee owners remain liable, unless granted pre-foreclosure debt waivers.</w:t>
            </w:r>
          </w:p>
        </w:tc>
      </w:tr>
    </w:tbl>
    <w:p w14:paraId="2F0EB8B0" w14:textId="77777777" w:rsidR="004568D0" w:rsidRDefault="004568D0" w:rsidP="004568D0"/>
    <w:p w14:paraId="51E507F7" w14:textId="2033E988" w:rsidR="00673BCA" w:rsidRPr="00673BCA" w:rsidRDefault="0031496E" w:rsidP="00673BCA">
      <w:pPr>
        <w:pStyle w:val="Heading2"/>
        <w:keepNext/>
        <w:jc w:val="left"/>
        <w:rPr>
          <w:sz w:val="4"/>
          <w:szCs w:val="4"/>
        </w:rPr>
      </w:pPr>
      <w:r>
        <w:t xml:space="preserve">  </w:t>
      </w:r>
    </w:p>
    <w:p w14:paraId="5A6F6233" w14:textId="2033E988" w:rsidR="00673BCA" w:rsidRDefault="00673BCA" w:rsidP="00673BCA">
      <w:pPr>
        <w:pStyle w:val="BlockLine"/>
      </w:pPr>
      <w:r>
        <w:t xml:space="preserve"> </w:t>
      </w:r>
    </w:p>
    <w:p w14:paraId="2F0EB8B1" w14:textId="77777777" w:rsidR="00CF2186" w:rsidRPr="00C752B4" w:rsidRDefault="00CF2186" w:rsidP="0031496E">
      <w:pPr>
        <w:pStyle w:val="Heading3"/>
        <w:keepNext/>
        <w:keepLines/>
        <w:spacing w:before="200" w:after="0"/>
        <w:ind w:left="810" w:hanging="810"/>
        <w:jc w:val="left"/>
        <w:rPr>
          <w:sz w:val="23"/>
          <w:szCs w:val="23"/>
        </w:rPr>
      </w:pPr>
    </w:p>
    <w:p w14:paraId="2F0EB8B2" w14:textId="333E6E48" w:rsidR="0031496E" w:rsidRPr="001071DF" w:rsidRDefault="00673BCA" w:rsidP="0031496E">
      <w:pPr>
        <w:pStyle w:val="Heading2"/>
        <w:keepNext/>
        <w:jc w:val="left"/>
      </w:pPr>
      <w:r w:rsidRPr="00C752B4">
        <w:rPr>
          <w:sz w:val="23"/>
          <w:szCs w:val="23"/>
        </w:rPr>
        <w:t xml:space="preserve">  </w:t>
      </w:r>
      <w:r w:rsidR="00CF2186">
        <w:br w:type="page"/>
      </w:r>
      <w:bookmarkStart w:id="1" w:name="fs_JzqwNMdex0ymtMWAyOo9yA"/>
      <w:r w:rsidR="00D76FBA">
        <w:lastRenderedPageBreak/>
        <w:t xml:space="preserve">3. </w:t>
      </w:r>
      <w:r w:rsidR="0031496E">
        <w:t>Types of Liability Reviews</w:t>
      </w:r>
    </w:p>
    <w:bookmarkEnd w:id="1"/>
    <w:p w14:paraId="2F0EB8B3" w14:textId="77777777" w:rsidR="00CF2186" w:rsidRDefault="00CF2186" w:rsidP="00CF2186">
      <w:pPr>
        <w:pStyle w:val="BlockLine"/>
      </w:pPr>
      <w:r>
        <w:t xml:space="preserve"> </w:t>
      </w:r>
    </w:p>
    <w:tbl>
      <w:tblPr>
        <w:tblW w:w="0" w:type="auto"/>
        <w:tblLayout w:type="fixed"/>
        <w:tblLook w:val="04A0" w:firstRow="1" w:lastRow="0" w:firstColumn="1" w:lastColumn="0" w:noHBand="0" w:noVBand="1"/>
      </w:tblPr>
      <w:tblGrid>
        <w:gridCol w:w="1728"/>
        <w:gridCol w:w="7740"/>
      </w:tblGrid>
      <w:tr w:rsidR="00C752B4" w:rsidRPr="00C752B4" w14:paraId="2F0EB8B7" w14:textId="77777777" w:rsidTr="00AB0612">
        <w:trPr>
          <w:cantSplit/>
        </w:trPr>
        <w:tc>
          <w:tcPr>
            <w:tcW w:w="1728" w:type="dxa"/>
            <w:hideMark/>
          </w:tcPr>
          <w:p w14:paraId="2F0EB8B4" w14:textId="77777777" w:rsidR="00C752B4" w:rsidRPr="001D4876" w:rsidRDefault="00C752B4" w:rsidP="00AB0612">
            <w:pPr>
              <w:pStyle w:val="Heading5"/>
              <w:spacing w:line="276" w:lineRule="auto"/>
              <w:rPr>
                <w:sz w:val="23"/>
                <w:szCs w:val="23"/>
              </w:rPr>
            </w:pPr>
            <w:r w:rsidRPr="001D4876">
              <w:rPr>
                <w:sz w:val="23"/>
                <w:szCs w:val="23"/>
              </w:rPr>
              <w:t>Change date</w:t>
            </w:r>
          </w:p>
        </w:tc>
        <w:tc>
          <w:tcPr>
            <w:tcW w:w="7740" w:type="dxa"/>
            <w:hideMark/>
          </w:tcPr>
          <w:p w14:paraId="2F0EB8B5" w14:textId="50872C18" w:rsidR="00A7756A" w:rsidRPr="00435CFC" w:rsidRDefault="00023199" w:rsidP="00A7756A">
            <w:pPr>
              <w:pStyle w:val="BlockText"/>
              <w:rPr>
                <w:szCs w:val="24"/>
              </w:rPr>
            </w:pPr>
            <w:r>
              <w:rPr>
                <w:szCs w:val="24"/>
              </w:rPr>
              <w:t>January 25, 2016</w:t>
            </w:r>
          </w:p>
          <w:p w14:paraId="2F0EB8B6" w14:textId="77777777" w:rsidR="00C752B4" w:rsidRPr="00C752B4" w:rsidRDefault="00C752B4" w:rsidP="00D76FBA">
            <w:pPr>
              <w:pStyle w:val="BulletText1"/>
              <w:numPr>
                <w:ilvl w:val="0"/>
                <w:numId w:val="13"/>
              </w:numPr>
              <w:tabs>
                <w:tab w:val="clear" w:pos="187"/>
                <w:tab w:val="clear" w:pos="360"/>
              </w:tabs>
              <w:spacing w:line="276" w:lineRule="auto"/>
              <w:ind w:left="342"/>
              <w:rPr>
                <w:sz w:val="23"/>
                <w:szCs w:val="23"/>
              </w:rPr>
            </w:pPr>
            <w:r w:rsidRPr="00435CFC">
              <w:rPr>
                <w:szCs w:val="24"/>
              </w:rPr>
              <w:t xml:space="preserve">This </w:t>
            </w:r>
            <w:r w:rsidR="0031496E" w:rsidRPr="00435CFC">
              <w:rPr>
                <w:szCs w:val="24"/>
              </w:rPr>
              <w:t>is a new section.</w:t>
            </w:r>
          </w:p>
        </w:tc>
      </w:tr>
    </w:tbl>
    <w:p w14:paraId="2F0EB8B8" w14:textId="77777777" w:rsidR="00C752B4" w:rsidRPr="00C752B4" w:rsidRDefault="00C752B4" w:rsidP="00C752B4">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CF2186" w14:paraId="2F0EB8BB" w14:textId="77777777" w:rsidTr="00717114">
        <w:trPr>
          <w:cantSplit/>
        </w:trPr>
        <w:tc>
          <w:tcPr>
            <w:tcW w:w="1728" w:type="dxa"/>
          </w:tcPr>
          <w:p w14:paraId="2F0EB8B9" w14:textId="77777777" w:rsidR="00CF2186" w:rsidRDefault="00FB24DC" w:rsidP="001D4876">
            <w:pPr>
              <w:pStyle w:val="Heading5"/>
            </w:pPr>
            <w:r>
              <w:t xml:space="preserve">a. </w:t>
            </w:r>
            <w:r w:rsidR="0031496E" w:rsidRPr="00C52CBE">
              <w:t xml:space="preserve">Pre-Foreclosure Debt </w:t>
            </w:r>
            <w:r w:rsidR="0031496E" w:rsidRPr="001071DF">
              <w:t>Waivers</w:t>
            </w:r>
          </w:p>
        </w:tc>
        <w:tc>
          <w:tcPr>
            <w:tcW w:w="7740" w:type="dxa"/>
          </w:tcPr>
          <w:p w14:paraId="2F0EB8BA" w14:textId="77777777" w:rsidR="00CF2186" w:rsidRPr="006E0B7B" w:rsidRDefault="0031496E" w:rsidP="0031496E">
            <w:pPr>
              <w:pStyle w:val="BulletText1"/>
              <w:numPr>
                <w:ilvl w:val="0"/>
                <w:numId w:val="0"/>
              </w:numPr>
              <w:tabs>
                <w:tab w:val="clear" w:pos="187"/>
                <w:tab w:val="left" w:pos="0"/>
              </w:tabs>
              <w:rPr>
                <w:b/>
                <w:i/>
              </w:rPr>
            </w:pPr>
            <w:r w:rsidRPr="00505501">
              <w:t>This is an early decision on the collectabilit</w:t>
            </w:r>
            <w:r>
              <w:t xml:space="preserve">y of a debt to the Government. </w:t>
            </w:r>
            <w:r w:rsidRPr="00505501">
              <w:t>The decision to release all or a portion of the estimated debt should depend on the feasibility of collecting the indebtedness and the borrower’s cooperation with VA servicing efforts.  Pre-foreclosure debt waiv</w:t>
            </w:r>
            <w:r>
              <w:t>ers can be granted to</w:t>
            </w:r>
            <w:r w:rsidR="00DA152A">
              <w:t xml:space="preserve"> the</w:t>
            </w:r>
            <w:r>
              <w:t xml:space="preserve"> original V</w:t>
            </w:r>
            <w:r w:rsidRPr="00505501">
              <w:t>eteran borrowers and all transferee borrowers.  These should encompass the majority of terminated loans and compromise sales.</w:t>
            </w:r>
          </w:p>
        </w:tc>
      </w:tr>
    </w:tbl>
    <w:p w14:paraId="2F0EB8BC" w14:textId="77777777" w:rsidR="0031496E" w:rsidRPr="00C752B4" w:rsidRDefault="0031496E" w:rsidP="0031496E">
      <w:pPr>
        <w:pStyle w:val="BlockLine"/>
        <w:rPr>
          <w:sz w:val="23"/>
          <w:szCs w:val="23"/>
        </w:rPr>
      </w:pPr>
    </w:p>
    <w:tbl>
      <w:tblPr>
        <w:tblW w:w="0" w:type="auto"/>
        <w:tblLayout w:type="fixed"/>
        <w:tblLook w:val="0000" w:firstRow="0" w:lastRow="0" w:firstColumn="0" w:lastColumn="0" w:noHBand="0" w:noVBand="0"/>
      </w:tblPr>
      <w:tblGrid>
        <w:gridCol w:w="1728"/>
        <w:gridCol w:w="7740"/>
      </w:tblGrid>
      <w:tr w:rsidR="0031496E" w14:paraId="2F0EB8C0" w14:textId="77777777" w:rsidTr="00533321">
        <w:trPr>
          <w:cantSplit/>
        </w:trPr>
        <w:tc>
          <w:tcPr>
            <w:tcW w:w="1728" w:type="dxa"/>
          </w:tcPr>
          <w:p w14:paraId="2F0EB8BD" w14:textId="77777777" w:rsidR="0031496E" w:rsidRPr="00C52CBE" w:rsidRDefault="0031496E" w:rsidP="0031496E">
            <w:pPr>
              <w:pStyle w:val="Heading5"/>
              <w:keepNext/>
              <w:spacing w:after="120"/>
              <w:rPr>
                <w:sz w:val="24"/>
                <w:szCs w:val="24"/>
              </w:rPr>
            </w:pPr>
            <w:proofErr w:type="gramStart"/>
            <w:r>
              <w:t xml:space="preserve">b.  </w:t>
            </w:r>
            <w:r w:rsidRPr="00C52CBE">
              <w:rPr>
                <w:sz w:val="24"/>
                <w:szCs w:val="24"/>
              </w:rPr>
              <w:t>Released</w:t>
            </w:r>
            <w:proofErr w:type="gramEnd"/>
            <w:r w:rsidRPr="00C52CBE">
              <w:rPr>
                <w:sz w:val="24"/>
                <w:szCs w:val="24"/>
              </w:rPr>
              <w:t xml:space="preserve"> </w:t>
            </w:r>
            <w:r>
              <w:rPr>
                <w:sz w:val="24"/>
                <w:szCs w:val="24"/>
              </w:rPr>
              <w:t>U</w:t>
            </w:r>
            <w:r w:rsidRPr="00C52CBE">
              <w:rPr>
                <w:sz w:val="24"/>
                <w:szCs w:val="24"/>
              </w:rPr>
              <w:t>nder</w:t>
            </w:r>
            <w:r>
              <w:rPr>
                <w:sz w:val="24"/>
                <w:szCs w:val="24"/>
              </w:rPr>
              <w:t xml:space="preserve"> </w:t>
            </w:r>
            <w:hyperlink r:id="rId15" w:history="1">
              <w:r w:rsidRPr="00C52CBE">
                <w:rPr>
                  <w:rStyle w:val="Hyperlink"/>
                  <w:b w:val="0"/>
                  <w:sz w:val="24"/>
                  <w:szCs w:val="24"/>
                </w:rPr>
                <w:t>38 U</w:t>
              </w:r>
              <w:r w:rsidR="00DA152A">
                <w:rPr>
                  <w:rStyle w:val="Hyperlink"/>
                  <w:b w:val="0"/>
                  <w:sz w:val="24"/>
                  <w:szCs w:val="24"/>
                </w:rPr>
                <w:t>.</w:t>
              </w:r>
              <w:r w:rsidRPr="00C52CBE">
                <w:rPr>
                  <w:rStyle w:val="Hyperlink"/>
                  <w:b w:val="0"/>
                  <w:sz w:val="24"/>
                  <w:szCs w:val="24"/>
                </w:rPr>
                <w:t>S</w:t>
              </w:r>
              <w:r w:rsidR="00DA152A">
                <w:rPr>
                  <w:rStyle w:val="Hyperlink"/>
                  <w:b w:val="0"/>
                  <w:sz w:val="24"/>
                  <w:szCs w:val="24"/>
                </w:rPr>
                <w:t>.</w:t>
              </w:r>
              <w:r w:rsidRPr="00C52CBE">
                <w:rPr>
                  <w:rStyle w:val="Hyperlink"/>
                  <w:b w:val="0"/>
                  <w:sz w:val="24"/>
                  <w:szCs w:val="24"/>
                </w:rPr>
                <w:t>C</w:t>
              </w:r>
              <w:r w:rsidR="00DA152A">
                <w:rPr>
                  <w:rStyle w:val="Hyperlink"/>
                  <w:b w:val="0"/>
                  <w:sz w:val="24"/>
                  <w:szCs w:val="24"/>
                </w:rPr>
                <w:t>.</w:t>
              </w:r>
              <w:r w:rsidRPr="00C52CBE">
                <w:rPr>
                  <w:rStyle w:val="Hyperlink"/>
                  <w:b w:val="0"/>
                  <w:sz w:val="24"/>
                  <w:szCs w:val="24"/>
                </w:rPr>
                <w:t xml:space="preserve"> 3713(a)</w:t>
              </w:r>
            </w:hyperlink>
          </w:p>
          <w:p w14:paraId="2F0EB8BE" w14:textId="77777777" w:rsidR="0031496E" w:rsidRDefault="0031496E" w:rsidP="00533321">
            <w:pPr>
              <w:pStyle w:val="Heading5"/>
            </w:pPr>
          </w:p>
        </w:tc>
        <w:tc>
          <w:tcPr>
            <w:tcW w:w="7740" w:type="dxa"/>
          </w:tcPr>
          <w:p w14:paraId="2F0EB8BF" w14:textId="77777777" w:rsidR="0031496E" w:rsidRPr="006E0B7B" w:rsidRDefault="0031496E" w:rsidP="0031496E">
            <w:pPr>
              <w:pStyle w:val="BulletText1"/>
              <w:numPr>
                <w:ilvl w:val="0"/>
                <w:numId w:val="0"/>
              </w:numPr>
              <w:tabs>
                <w:tab w:val="clear" w:pos="187"/>
                <w:tab w:val="left" w:pos="0"/>
              </w:tabs>
              <w:rPr>
                <w:b/>
                <w:i/>
              </w:rPr>
            </w:pPr>
            <w:r w:rsidRPr="001071DF">
              <w:t>VA loans made prior to March 1, 1988, in which a release of liability was approved by VA prior to or after the transfer, but prior to loan termination.  The original Veteran is not liable to VA for any loss incurred as a result of the termination or compromise sale.</w:t>
            </w:r>
          </w:p>
        </w:tc>
      </w:tr>
    </w:tbl>
    <w:p w14:paraId="2F0EB8C1" w14:textId="77777777" w:rsidR="0031496E" w:rsidRPr="00C752B4" w:rsidRDefault="0031496E" w:rsidP="0031496E">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31496E" w14:paraId="2F0EB8C4" w14:textId="77777777" w:rsidTr="0031496E">
        <w:trPr>
          <w:cantSplit/>
          <w:trHeight w:val="1458"/>
        </w:trPr>
        <w:tc>
          <w:tcPr>
            <w:tcW w:w="1728" w:type="dxa"/>
          </w:tcPr>
          <w:p w14:paraId="2F0EB8C2" w14:textId="77777777" w:rsidR="0031496E" w:rsidRPr="0031496E" w:rsidRDefault="0031496E" w:rsidP="0031496E">
            <w:pPr>
              <w:pStyle w:val="Heading5"/>
              <w:keepNext/>
              <w:spacing w:after="120"/>
              <w:rPr>
                <w:sz w:val="24"/>
                <w:szCs w:val="24"/>
              </w:rPr>
            </w:pPr>
            <w:proofErr w:type="gramStart"/>
            <w:r>
              <w:t xml:space="preserve">c.  </w:t>
            </w:r>
            <w:r w:rsidRPr="00C52CBE">
              <w:rPr>
                <w:sz w:val="24"/>
                <w:szCs w:val="24"/>
              </w:rPr>
              <w:t>Released</w:t>
            </w:r>
            <w:proofErr w:type="gramEnd"/>
            <w:r w:rsidRPr="00C52CBE">
              <w:rPr>
                <w:sz w:val="24"/>
                <w:szCs w:val="24"/>
              </w:rPr>
              <w:t xml:space="preserve"> under</w:t>
            </w:r>
            <w:r>
              <w:rPr>
                <w:sz w:val="24"/>
                <w:szCs w:val="24"/>
              </w:rPr>
              <w:t xml:space="preserve"> </w:t>
            </w:r>
            <w:hyperlink r:id="rId16" w:history="1">
              <w:r w:rsidRPr="00C52CBE">
                <w:rPr>
                  <w:rStyle w:val="Hyperlink"/>
                  <w:b w:val="0"/>
                  <w:sz w:val="24"/>
                  <w:szCs w:val="24"/>
                </w:rPr>
                <w:t>38 U</w:t>
              </w:r>
              <w:r w:rsidR="00DA152A">
                <w:rPr>
                  <w:rStyle w:val="Hyperlink"/>
                  <w:b w:val="0"/>
                  <w:sz w:val="24"/>
                  <w:szCs w:val="24"/>
                </w:rPr>
                <w:t>.</w:t>
              </w:r>
              <w:r w:rsidRPr="00C52CBE">
                <w:rPr>
                  <w:rStyle w:val="Hyperlink"/>
                  <w:b w:val="0"/>
                  <w:sz w:val="24"/>
                  <w:szCs w:val="24"/>
                </w:rPr>
                <w:t>S</w:t>
              </w:r>
              <w:r w:rsidR="00DA152A">
                <w:rPr>
                  <w:rStyle w:val="Hyperlink"/>
                  <w:b w:val="0"/>
                  <w:sz w:val="24"/>
                  <w:szCs w:val="24"/>
                </w:rPr>
                <w:t>.</w:t>
              </w:r>
              <w:r w:rsidRPr="00C52CBE">
                <w:rPr>
                  <w:rStyle w:val="Hyperlink"/>
                  <w:b w:val="0"/>
                  <w:sz w:val="24"/>
                  <w:szCs w:val="24"/>
                </w:rPr>
                <w:t>C</w:t>
              </w:r>
              <w:r w:rsidR="00DA152A">
                <w:rPr>
                  <w:rStyle w:val="Hyperlink"/>
                  <w:b w:val="0"/>
                  <w:sz w:val="24"/>
                  <w:szCs w:val="24"/>
                </w:rPr>
                <w:t>.</w:t>
              </w:r>
              <w:r w:rsidRPr="00C52CBE">
                <w:rPr>
                  <w:rStyle w:val="Hyperlink"/>
                  <w:b w:val="0"/>
                  <w:sz w:val="24"/>
                  <w:szCs w:val="24"/>
                </w:rPr>
                <w:t xml:space="preserve"> 3713(b)</w:t>
              </w:r>
            </w:hyperlink>
          </w:p>
        </w:tc>
        <w:tc>
          <w:tcPr>
            <w:tcW w:w="7740" w:type="dxa"/>
          </w:tcPr>
          <w:p w14:paraId="2F0EB8C3" w14:textId="77777777" w:rsidR="0031496E" w:rsidRPr="006E0B7B" w:rsidRDefault="0031496E" w:rsidP="0031496E">
            <w:pPr>
              <w:pStyle w:val="BulletText1"/>
              <w:numPr>
                <w:ilvl w:val="0"/>
                <w:numId w:val="0"/>
              </w:numPr>
              <w:tabs>
                <w:tab w:val="clear" w:pos="187"/>
              </w:tabs>
              <w:rPr>
                <w:b/>
                <w:i/>
              </w:rPr>
            </w:pPr>
            <w:r w:rsidRPr="001071DF">
              <w:t>VA loans made prior to March 1, 1988, in which the original Veteran did not obtain a release of liability from VA prior to loan termination.  This is known as retroactive release of liability review and is conducted after the loan termination if VA suffered a loss.  If pre-foreclosure debt waivers are granted, this procedure is not necessary.</w:t>
            </w:r>
          </w:p>
        </w:tc>
      </w:tr>
    </w:tbl>
    <w:p w14:paraId="2F0EB8C5" w14:textId="77777777" w:rsidR="0031496E" w:rsidRPr="00C752B4" w:rsidRDefault="0031496E" w:rsidP="0031496E">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31496E" w14:paraId="2F0EB8C8" w14:textId="77777777" w:rsidTr="00533321">
        <w:trPr>
          <w:cantSplit/>
        </w:trPr>
        <w:tc>
          <w:tcPr>
            <w:tcW w:w="1728" w:type="dxa"/>
          </w:tcPr>
          <w:p w14:paraId="2F0EB8C6" w14:textId="77777777" w:rsidR="0031496E" w:rsidRDefault="0031496E" w:rsidP="0031496E">
            <w:pPr>
              <w:pStyle w:val="Heading5"/>
              <w:keepNext/>
              <w:spacing w:after="120"/>
            </w:pPr>
            <w:r>
              <w:t xml:space="preserve">d. </w:t>
            </w:r>
            <w:r w:rsidRPr="00C52CBE">
              <w:rPr>
                <w:sz w:val="24"/>
                <w:szCs w:val="24"/>
              </w:rPr>
              <w:t>Released und</w:t>
            </w:r>
            <w:r>
              <w:rPr>
                <w:sz w:val="24"/>
                <w:szCs w:val="24"/>
              </w:rPr>
              <w:t>e</w:t>
            </w:r>
            <w:r w:rsidRPr="00C52CBE">
              <w:rPr>
                <w:sz w:val="24"/>
                <w:szCs w:val="24"/>
              </w:rPr>
              <w:t xml:space="preserve">r </w:t>
            </w:r>
            <w:hyperlink r:id="rId17" w:history="1">
              <w:r w:rsidRPr="00C52CBE">
                <w:rPr>
                  <w:rStyle w:val="Hyperlink"/>
                  <w:b w:val="0"/>
                  <w:sz w:val="24"/>
                  <w:szCs w:val="24"/>
                </w:rPr>
                <w:t>38 U</w:t>
              </w:r>
              <w:r w:rsidR="00DA152A">
                <w:rPr>
                  <w:rStyle w:val="Hyperlink"/>
                  <w:b w:val="0"/>
                  <w:sz w:val="24"/>
                  <w:szCs w:val="24"/>
                </w:rPr>
                <w:t>.</w:t>
              </w:r>
              <w:r w:rsidRPr="00C52CBE">
                <w:rPr>
                  <w:rStyle w:val="Hyperlink"/>
                  <w:b w:val="0"/>
                  <w:sz w:val="24"/>
                  <w:szCs w:val="24"/>
                </w:rPr>
                <w:t>S</w:t>
              </w:r>
              <w:r w:rsidR="00DA152A">
                <w:rPr>
                  <w:rStyle w:val="Hyperlink"/>
                  <w:b w:val="0"/>
                  <w:sz w:val="24"/>
                  <w:szCs w:val="24"/>
                </w:rPr>
                <w:t>.</w:t>
              </w:r>
              <w:r w:rsidRPr="00C52CBE">
                <w:rPr>
                  <w:rStyle w:val="Hyperlink"/>
                  <w:b w:val="0"/>
                  <w:sz w:val="24"/>
                  <w:szCs w:val="24"/>
                </w:rPr>
                <w:t>C</w:t>
              </w:r>
              <w:r w:rsidR="00DA152A">
                <w:rPr>
                  <w:rStyle w:val="Hyperlink"/>
                  <w:b w:val="0"/>
                  <w:sz w:val="24"/>
                  <w:szCs w:val="24"/>
                </w:rPr>
                <w:t>.</w:t>
              </w:r>
              <w:r w:rsidRPr="00C52CBE">
                <w:rPr>
                  <w:rStyle w:val="Hyperlink"/>
                  <w:b w:val="0"/>
                  <w:sz w:val="24"/>
                  <w:szCs w:val="24"/>
                </w:rPr>
                <w:t xml:space="preserve"> 3714</w:t>
              </w:r>
            </w:hyperlink>
          </w:p>
        </w:tc>
        <w:tc>
          <w:tcPr>
            <w:tcW w:w="7740" w:type="dxa"/>
          </w:tcPr>
          <w:p w14:paraId="2F0EB8C7" w14:textId="77777777" w:rsidR="0031496E" w:rsidRPr="006E0B7B" w:rsidRDefault="0031496E" w:rsidP="0031496E">
            <w:pPr>
              <w:pStyle w:val="BulletText1"/>
              <w:numPr>
                <w:ilvl w:val="0"/>
                <w:numId w:val="0"/>
              </w:numPr>
              <w:tabs>
                <w:tab w:val="clear" w:pos="187"/>
                <w:tab w:val="left" w:pos="-108"/>
              </w:tabs>
              <w:rPr>
                <w:b/>
                <w:i/>
              </w:rPr>
            </w:pPr>
            <w:r w:rsidRPr="001071DF">
              <w:t>For release of liability completed on VA loans made on or after March 1, 1988, these loans are not freely assumable and all assumptions must be approved prior to transfer.</w:t>
            </w:r>
          </w:p>
        </w:tc>
      </w:tr>
    </w:tbl>
    <w:p w14:paraId="2F0EB8C9" w14:textId="77777777" w:rsidR="0031496E" w:rsidRPr="00C752B4" w:rsidRDefault="0031496E" w:rsidP="0031496E">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31496E" w14:paraId="2F0EB8CC" w14:textId="77777777" w:rsidTr="00533321">
        <w:trPr>
          <w:cantSplit/>
        </w:trPr>
        <w:tc>
          <w:tcPr>
            <w:tcW w:w="1728" w:type="dxa"/>
          </w:tcPr>
          <w:p w14:paraId="2F0EB8CA" w14:textId="301726E2" w:rsidR="0031496E" w:rsidRDefault="0031496E" w:rsidP="00DA152A">
            <w:pPr>
              <w:pStyle w:val="Heading5"/>
            </w:pPr>
            <w:r>
              <w:t xml:space="preserve">e. </w:t>
            </w:r>
            <w:r w:rsidR="0024176A" w:rsidRPr="0024176A">
              <w:rPr>
                <w:sz w:val="24"/>
                <w:szCs w:val="24"/>
              </w:rPr>
              <w:t>Guaranty and Indemnity Fund</w:t>
            </w:r>
            <w:r w:rsidRPr="00C52CBE">
              <w:rPr>
                <w:sz w:val="24"/>
                <w:szCs w:val="24"/>
              </w:rPr>
              <w:t xml:space="preserve"> Loans</w:t>
            </w:r>
          </w:p>
        </w:tc>
        <w:tc>
          <w:tcPr>
            <w:tcW w:w="7740" w:type="dxa"/>
          </w:tcPr>
          <w:p w14:paraId="2F0EB8CB" w14:textId="77777777" w:rsidR="0031496E" w:rsidRPr="006E0B7B" w:rsidRDefault="0031496E" w:rsidP="0031496E">
            <w:pPr>
              <w:pStyle w:val="BulletText1"/>
              <w:numPr>
                <w:ilvl w:val="0"/>
                <w:numId w:val="0"/>
              </w:numPr>
              <w:tabs>
                <w:tab w:val="clear" w:pos="187"/>
                <w:tab w:val="left" w:pos="0"/>
              </w:tabs>
              <w:rPr>
                <w:b/>
                <w:i/>
              </w:rPr>
            </w:pPr>
            <w:r w:rsidRPr="001071DF">
              <w:t>If there is no finding of fraud, misrepresentation, or bad faith, the original Veteran is released from liability for the loss incurred, but entitlement cannot be used again unless VA loss is repaid.</w:t>
            </w:r>
          </w:p>
        </w:tc>
      </w:tr>
    </w:tbl>
    <w:p w14:paraId="2F0EB8CD" w14:textId="77777777" w:rsidR="0031496E" w:rsidRPr="00C752B4" w:rsidRDefault="0031496E" w:rsidP="0031496E">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31496E" w14:paraId="2F0EB8D0" w14:textId="77777777" w:rsidTr="00533321">
        <w:trPr>
          <w:cantSplit/>
        </w:trPr>
        <w:tc>
          <w:tcPr>
            <w:tcW w:w="1728" w:type="dxa"/>
          </w:tcPr>
          <w:p w14:paraId="2F0EB8CE" w14:textId="77777777" w:rsidR="0031496E" w:rsidRDefault="0031496E" w:rsidP="00533321">
            <w:pPr>
              <w:pStyle w:val="Heading5"/>
            </w:pPr>
            <w:proofErr w:type="gramStart"/>
            <w:r>
              <w:t xml:space="preserve">f.  </w:t>
            </w:r>
            <w:r w:rsidRPr="00C52CBE">
              <w:rPr>
                <w:sz w:val="24"/>
                <w:szCs w:val="24"/>
              </w:rPr>
              <w:t>Bankruptcy</w:t>
            </w:r>
            <w:proofErr w:type="gramEnd"/>
            <w:r w:rsidRPr="00C52CBE">
              <w:rPr>
                <w:sz w:val="24"/>
                <w:szCs w:val="24"/>
              </w:rPr>
              <w:t xml:space="preserve"> Cases</w:t>
            </w:r>
          </w:p>
        </w:tc>
        <w:tc>
          <w:tcPr>
            <w:tcW w:w="7740" w:type="dxa"/>
          </w:tcPr>
          <w:p w14:paraId="2F0EB8CF" w14:textId="77777777" w:rsidR="0031496E" w:rsidRPr="006E0B7B" w:rsidRDefault="0031496E" w:rsidP="0031496E">
            <w:pPr>
              <w:pStyle w:val="BulletText1"/>
              <w:numPr>
                <w:ilvl w:val="0"/>
                <w:numId w:val="0"/>
              </w:numPr>
              <w:ind w:left="187" w:hanging="187"/>
              <w:rPr>
                <w:b/>
                <w:i/>
              </w:rPr>
            </w:pPr>
            <w:r w:rsidRPr="001071DF">
              <w:t>VA loans where the obligors were released as a result of bankruptcy.</w:t>
            </w:r>
          </w:p>
        </w:tc>
      </w:tr>
    </w:tbl>
    <w:p w14:paraId="2F0EB8D1" w14:textId="77777777" w:rsidR="0031496E" w:rsidRDefault="0031496E" w:rsidP="0031496E">
      <w:pPr>
        <w:pStyle w:val="BlockLine"/>
      </w:pPr>
    </w:p>
    <w:p w14:paraId="2F0EB8D2" w14:textId="4927D308" w:rsidR="0031496E" w:rsidRDefault="00CF2186" w:rsidP="0031496E">
      <w:pPr>
        <w:pStyle w:val="Heading2"/>
        <w:jc w:val="left"/>
      </w:pPr>
      <w:r>
        <w:br w:type="page"/>
      </w:r>
      <w:r w:rsidR="00E96F86">
        <w:lastRenderedPageBreak/>
        <w:t>4.</w:t>
      </w:r>
      <w:r w:rsidR="00FE4534">
        <w:t xml:space="preserve"> </w:t>
      </w:r>
      <w:bookmarkStart w:id="2" w:name="fs_trmY8xJLku4S3pkHexTw"/>
      <w:r w:rsidR="0031496E">
        <w:t>General Guidelines</w:t>
      </w:r>
    </w:p>
    <w:bookmarkEnd w:id="2"/>
    <w:p w14:paraId="2F0EB8D3" w14:textId="77777777" w:rsidR="00CF2186" w:rsidRDefault="00CF2186" w:rsidP="00CF2186">
      <w:pPr>
        <w:pStyle w:val="BlockLine"/>
      </w:pPr>
    </w:p>
    <w:tbl>
      <w:tblPr>
        <w:tblW w:w="0" w:type="auto"/>
        <w:tblLayout w:type="fixed"/>
        <w:tblLook w:val="04A0" w:firstRow="1" w:lastRow="0" w:firstColumn="1" w:lastColumn="0" w:noHBand="0" w:noVBand="1"/>
      </w:tblPr>
      <w:tblGrid>
        <w:gridCol w:w="1728"/>
        <w:gridCol w:w="7740"/>
      </w:tblGrid>
      <w:tr w:rsidR="00423161" w:rsidRPr="00C752B4" w14:paraId="2F0EB8D7" w14:textId="77777777" w:rsidTr="00AB0612">
        <w:trPr>
          <w:cantSplit/>
        </w:trPr>
        <w:tc>
          <w:tcPr>
            <w:tcW w:w="1728" w:type="dxa"/>
            <w:hideMark/>
          </w:tcPr>
          <w:p w14:paraId="2F0EB8D4" w14:textId="77777777" w:rsidR="00423161" w:rsidRPr="001D4876" w:rsidRDefault="00423161" w:rsidP="00AB0612">
            <w:pPr>
              <w:pStyle w:val="Heading5"/>
              <w:spacing w:line="276" w:lineRule="auto"/>
              <w:rPr>
                <w:sz w:val="23"/>
                <w:szCs w:val="23"/>
              </w:rPr>
            </w:pPr>
            <w:r w:rsidRPr="001D4876">
              <w:rPr>
                <w:sz w:val="23"/>
                <w:szCs w:val="23"/>
              </w:rPr>
              <w:t>Change date</w:t>
            </w:r>
          </w:p>
        </w:tc>
        <w:tc>
          <w:tcPr>
            <w:tcW w:w="7740" w:type="dxa"/>
            <w:hideMark/>
          </w:tcPr>
          <w:p w14:paraId="2F0EB8D5" w14:textId="3AC7B412" w:rsidR="0031496E" w:rsidRPr="00D34E22" w:rsidRDefault="00023199" w:rsidP="0031496E">
            <w:pPr>
              <w:pStyle w:val="BlockText"/>
              <w:rPr>
                <w:szCs w:val="24"/>
              </w:rPr>
            </w:pPr>
            <w:r>
              <w:rPr>
                <w:szCs w:val="24"/>
              </w:rPr>
              <w:t>January 25, 2016</w:t>
            </w:r>
          </w:p>
          <w:p w14:paraId="2F0EB8D6" w14:textId="77777777" w:rsidR="00423161" w:rsidRPr="00C752B4" w:rsidRDefault="0031496E" w:rsidP="00D34E22">
            <w:pPr>
              <w:pStyle w:val="BulletText1"/>
              <w:numPr>
                <w:ilvl w:val="0"/>
                <w:numId w:val="13"/>
              </w:numPr>
              <w:tabs>
                <w:tab w:val="clear" w:pos="187"/>
                <w:tab w:val="clear" w:pos="360"/>
              </w:tabs>
              <w:spacing w:line="276" w:lineRule="auto"/>
              <w:ind w:left="342" w:hanging="342"/>
              <w:rPr>
                <w:sz w:val="23"/>
                <w:szCs w:val="23"/>
              </w:rPr>
            </w:pPr>
            <w:r w:rsidRPr="00D34E22">
              <w:rPr>
                <w:szCs w:val="24"/>
              </w:rPr>
              <w:t>This is a new section.</w:t>
            </w:r>
          </w:p>
        </w:tc>
      </w:tr>
    </w:tbl>
    <w:p w14:paraId="2F0EB8D8" w14:textId="77777777" w:rsidR="00423161" w:rsidRPr="00C752B4" w:rsidRDefault="00423161" w:rsidP="00423161">
      <w:pPr>
        <w:pStyle w:val="BlockLine"/>
        <w:rPr>
          <w:sz w:val="23"/>
          <w:szCs w:val="23"/>
        </w:rPr>
      </w:pPr>
      <w:r w:rsidRPr="00C752B4">
        <w:rPr>
          <w:sz w:val="23"/>
          <w:szCs w:val="23"/>
        </w:rPr>
        <w:t xml:space="preserve">  </w:t>
      </w:r>
    </w:p>
    <w:tbl>
      <w:tblPr>
        <w:tblW w:w="0" w:type="auto"/>
        <w:tblLayout w:type="fixed"/>
        <w:tblLook w:val="0000" w:firstRow="0" w:lastRow="0" w:firstColumn="0" w:lastColumn="0" w:noHBand="0" w:noVBand="0"/>
      </w:tblPr>
      <w:tblGrid>
        <w:gridCol w:w="1728"/>
        <w:gridCol w:w="7740"/>
      </w:tblGrid>
      <w:tr w:rsidR="00CF2186" w14:paraId="2F0EB8E5" w14:textId="77777777" w:rsidTr="00717114">
        <w:trPr>
          <w:cantSplit/>
        </w:trPr>
        <w:tc>
          <w:tcPr>
            <w:tcW w:w="1728" w:type="dxa"/>
          </w:tcPr>
          <w:p w14:paraId="2F0EB8D9" w14:textId="77777777" w:rsidR="00793056" w:rsidRDefault="00CF2186" w:rsidP="0031496E">
            <w:pPr>
              <w:rPr>
                <w:b/>
              </w:rPr>
            </w:pPr>
            <w:r w:rsidRPr="00F42651">
              <w:rPr>
                <w:b/>
              </w:rPr>
              <w:t xml:space="preserve">a. </w:t>
            </w:r>
            <w:r w:rsidR="0031496E" w:rsidRPr="00F42651">
              <w:rPr>
                <w:b/>
              </w:rPr>
              <w:t xml:space="preserve">Type “2” Loan Closed </w:t>
            </w:r>
            <w:r w:rsidR="0031496E" w:rsidRPr="00F42651">
              <w:rPr>
                <w:b/>
                <w:i/>
              </w:rPr>
              <w:t>Prior</w:t>
            </w:r>
            <w:r w:rsidR="00793056">
              <w:rPr>
                <w:b/>
              </w:rPr>
              <w:t xml:space="preserve"> to March 1, </w:t>
            </w:r>
          </w:p>
          <w:p w14:paraId="2F0EB8DA" w14:textId="77777777" w:rsidR="0031496E" w:rsidRPr="00F42651" w:rsidRDefault="00793056" w:rsidP="0031496E">
            <w:pPr>
              <w:rPr>
                <w:rFonts w:ascii="Arial" w:hAnsi="Arial" w:cs="Arial"/>
                <w:b/>
              </w:rPr>
            </w:pPr>
            <w:r>
              <w:rPr>
                <w:b/>
              </w:rPr>
              <w:t xml:space="preserve">1988 </w:t>
            </w:r>
            <w:r w:rsidR="0031496E" w:rsidRPr="00F42651">
              <w:rPr>
                <w:b/>
              </w:rPr>
              <w:t>- Obligor at Termination / Compromise Sale</w:t>
            </w:r>
          </w:p>
          <w:p w14:paraId="2F0EB8DB" w14:textId="77777777" w:rsidR="00CF2186" w:rsidRDefault="00CF2186" w:rsidP="00717114">
            <w:pPr>
              <w:pStyle w:val="Heading5"/>
            </w:pPr>
          </w:p>
        </w:tc>
        <w:tc>
          <w:tcPr>
            <w:tcW w:w="7740" w:type="dxa"/>
          </w:tcPr>
          <w:tbl>
            <w:tblPr>
              <w:tblStyle w:val="TableGrid"/>
              <w:tblW w:w="7627" w:type="dxa"/>
              <w:tblLayout w:type="fixed"/>
              <w:tblLook w:val="04A0" w:firstRow="1" w:lastRow="0" w:firstColumn="1" w:lastColumn="0" w:noHBand="0" w:noVBand="1"/>
            </w:tblPr>
            <w:tblGrid>
              <w:gridCol w:w="1867"/>
              <w:gridCol w:w="5760"/>
            </w:tblGrid>
            <w:tr w:rsidR="0031496E" w14:paraId="2F0EB8DE" w14:textId="77777777" w:rsidTr="00A161AF">
              <w:tc>
                <w:tcPr>
                  <w:tcW w:w="1867" w:type="dxa"/>
                </w:tcPr>
                <w:p w14:paraId="2F0EB8DC" w14:textId="77777777" w:rsidR="0031496E" w:rsidRDefault="00F42651" w:rsidP="00717114">
                  <w:pPr>
                    <w:pStyle w:val="BlockText"/>
                  </w:pPr>
                  <w:r w:rsidRPr="00C52CBE">
                    <w:t>Original Veteran</w:t>
                  </w:r>
                </w:p>
              </w:tc>
              <w:tc>
                <w:tcPr>
                  <w:tcW w:w="5760" w:type="dxa"/>
                </w:tcPr>
                <w:p w14:paraId="2F0EB8DD" w14:textId="77777777" w:rsidR="0031496E" w:rsidRDefault="00F42651" w:rsidP="00717114">
                  <w:pPr>
                    <w:pStyle w:val="BlockText"/>
                  </w:pPr>
                  <w:r>
                    <w:t>The original V</w:t>
                  </w:r>
                  <w:r w:rsidRPr="00505501">
                    <w:t xml:space="preserve">eteran remains liable to VA for any loss incurred; therefore, an </w:t>
                  </w:r>
                  <w:r w:rsidRPr="00A768D8">
                    <w:t>early decision</w:t>
                  </w:r>
                  <w:r w:rsidRPr="00505501">
                    <w:t xml:space="preserve"> on the collectability of a debt to the Government should have been made.  A </w:t>
                  </w:r>
                  <w:r w:rsidRPr="00A768D8">
                    <w:t>pre-foreclosure debt waiver</w:t>
                  </w:r>
                  <w:r w:rsidRPr="00505501">
                    <w:t xml:space="preserve"> decision to release all or a portion of the estimated debt should depend on the feasibility of collecting the indebtedness and the borrower’s cooperation with VA servicing efforts.</w:t>
                  </w:r>
                </w:p>
              </w:tc>
            </w:tr>
            <w:tr w:rsidR="0031496E" w14:paraId="2F0EB8E3" w14:textId="77777777" w:rsidTr="00A161AF">
              <w:tc>
                <w:tcPr>
                  <w:tcW w:w="1867" w:type="dxa"/>
                </w:tcPr>
                <w:p w14:paraId="2F0EB8DF" w14:textId="77777777" w:rsidR="0031496E" w:rsidRDefault="00F42651" w:rsidP="00717114">
                  <w:pPr>
                    <w:pStyle w:val="BlockText"/>
                  </w:pPr>
                  <w:r w:rsidRPr="00A84A46">
                    <w:t>Transferee Owner</w:t>
                  </w:r>
                </w:p>
              </w:tc>
              <w:tc>
                <w:tcPr>
                  <w:tcW w:w="5760" w:type="dxa"/>
                </w:tcPr>
                <w:p w14:paraId="2F0EB8E0" w14:textId="77777777" w:rsidR="00F42651" w:rsidRDefault="00F42651" w:rsidP="00F42651">
                  <w:pPr>
                    <w:pStyle w:val="NumberedList1"/>
                    <w:numPr>
                      <w:ilvl w:val="0"/>
                      <w:numId w:val="18"/>
                    </w:numPr>
                    <w:spacing w:after="120"/>
                  </w:pPr>
                  <w:r w:rsidRPr="00505501">
                    <w:t>If a release of liability was</w:t>
                  </w:r>
                  <w:r>
                    <w:t xml:space="preserve"> approved by VA prior to or </w:t>
                  </w:r>
                  <w:r w:rsidRPr="00505501">
                    <w:t>af</w:t>
                  </w:r>
                  <w:r>
                    <w:t>ter the transfer, the original V</w:t>
                  </w:r>
                  <w:r w:rsidRPr="00505501">
                    <w:t xml:space="preserve">eteran is not liable to VA for any loss incurred as a result of the termination or compromise sale. The transferee borrower is liable to VA.  An </w:t>
                  </w:r>
                  <w:r w:rsidRPr="00A768D8">
                    <w:t>early decision</w:t>
                  </w:r>
                  <w:r w:rsidRPr="00505501">
                    <w:t xml:space="preserve"> on the collectability of a debt to the Government should have been made.  A </w:t>
                  </w:r>
                  <w:r w:rsidRPr="00A768D8">
                    <w:t>pre-foreclosure debt waiver</w:t>
                  </w:r>
                  <w:r w:rsidRPr="00A84A46">
                    <w:rPr>
                      <w:b/>
                    </w:rPr>
                    <w:t xml:space="preserve"> </w:t>
                  </w:r>
                  <w:r w:rsidRPr="00505501">
                    <w:t>decision to release all or a portion of the estimated debt should depend on the feasibility of collecting the indebtedness and the borrower’s cooperation with VA servicing efforts.</w:t>
                  </w:r>
                </w:p>
                <w:p w14:paraId="2F0EB8E1" w14:textId="77777777" w:rsidR="00F42651" w:rsidRPr="00505501" w:rsidRDefault="00F42651" w:rsidP="00F42651">
                  <w:pPr>
                    <w:pStyle w:val="NumberedList1"/>
                    <w:numPr>
                      <w:ilvl w:val="0"/>
                      <w:numId w:val="0"/>
                    </w:numPr>
                    <w:spacing w:after="120"/>
                    <w:ind w:left="720"/>
                  </w:pPr>
                </w:p>
                <w:p w14:paraId="2F0EB8E2" w14:textId="77777777" w:rsidR="0031496E" w:rsidRDefault="00F42651" w:rsidP="00F42651">
                  <w:pPr>
                    <w:pStyle w:val="BlockText"/>
                    <w:numPr>
                      <w:ilvl w:val="0"/>
                      <w:numId w:val="18"/>
                    </w:numPr>
                  </w:pPr>
                  <w:r w:rsidRPr="00505501">
                    <w:t>If a release of liability was not approved by VA prior to or af</w:t>
                  </w:r>
                  <w:r>
                    <w:t>ter the transfer, the original V</w:t>
                  </w:r>
                  <w:r w:rsidRPr="00505501">
                    <w:t>eteran remains liable to VA for any loss incurred.  Assuming that default and subsequent termi</w:t>
                  </w:r>
                  <w:r>
                    <w:t>nation was beyond the original V</w:t>
                  </w:r>
                  <w:r w:rsidRPr="00505501">
                    <w:t xml:space="preserve">eteran’s control, a pre-foreclosure waiver should be granted.  In addition, an </w:t>
                  </w:r>
                  <w:r w:rsidRPr="00A768D8">
                    <w:t>early decision</w:t>
                  </w:r>
                  <w:r w:rsidRPr="00505501">
                    <w:t xml:space="preserve"> of the transferee’s prospects for repaying the indebtedness to the Government should have been made.  Again, a </w:t>
                  </w:r>
                  <w:r w:rsidRPr="00A768D8">
                    <w:t>pre-foreclosure debt waiver</w:t>
                  </w:r>
                  <w:r w:rsidRPr="00505501">
                    <w:rPr>
                      <w:b/>
                    </w:rPr>
                    <w:t xml:space="preserve"> </w:t>
                  </w:r>
                  <w:r w:rsidRPr="00505501">
                    <w:t>decision to release all or a portion of the estimated debt should depend on the feasibility of collecting the indebtedness and the transferee’s cooperation with VA servicing efforts.</w:t>
                  </w:r>
                </w:p>
              </w:tc>
            </w:tr>
            <w:tr w:rsidR="00D34E22" w14:paraId="0DF8013F" w14:textId="77777777" w:rsidTr="00A161AF">
              <w:tc>
                <w:tcPr>
                  <w:tcW w:w="1867" w:type="dxa"/>
                  <w:tcBorders>
                    <w:left w:val="nil"/>
                    <w:right w:val="nil"/>
                  </w:tcBorders>
                </w:tcPr>
                <w:p w14:paraId="59A277A0" w14:textId="77777777" w:rsidR="00D34E22" w:rsidRPr="00A84A46" w:rsidRDefault="00D34E22" w:rsidP="00717114">
                  <w:pPr>
                    <w:pStyle w:val="BlockText"/>
                  </w:pPr>
                </w:p>
              </w:tc>
              <w:tc>
                <w:tcPr>
                  <w:tcW w:w="5760" w:type="dxa"/>
                  <w:tcBorders>
                    <w:left w:val="nil"/>
                    <w:right w:val="nil"/>
                  </w:tcBorders>
                </w:tcPr>
                <w:p w14:paraId="48D42764" w14:textId="77777777" w:rsidR="00D34E22" w:rsidRPr="00505501" w:rsidRDefault="00D34E22" w:rsidP="00D34E22">
                  <w:pPr>
                    <w:pStyle w:val="NumberedList1"/>
                    <w:numPr>
                      <w:ilvl w:val="0"/>
                      <w:numId w:val="0"/>
                    </w:numPr>
                    <w:spacing w:after="120"/>
                    <w:ind w:left="720"/>
                  </w:pPr>
                </w:p>
              </w:tc>
            </w:tr>
          </w:tbl>
          <w:p w14:paraId="2F0EB8E4" w14:textId="77777777" w:rsidR="00CF2186" w:rsidRPr="007E2A70" w:rsidRDefault="00CF2186" w:rsidP="00717114">
            <w:pPr>
              <w:pStyle w:val="BlockText"/>
            </w:pPr>
          </w:p>
        </w:tc>
      </w:tr>
    </w:tbl>
    <w:p w14:paraId="4E47393A" w14:textId="6074290F" w:rsidR="00A161AF" w:rsidRPr="00A161AF" w:rsidRDefault="00A161AF" w:rsidP="00793056">
      <w:pPr>
        <w:pStyle w:val="Heading2"/>
        <w:jc w:val="left"/>
        <w:rPr>
          <w:rFonts w:ascii="Times New Roman" w:hAnsi="Times New Roman"/>
          <w:b w:val="0"/>
          <w:i/>
          <w:sz w:val="20"/>
        </w:rPr>
      </w:pPr>
      <w:r>
        <w:t xml:space="preserve">                                                                                   </w:t>
      </w:r>
      <w:r w:rsidRPr="00A161AF">
        <w:rPr>
          <w:rFonts w:ascii="Times New Roman" w:hAnsi="Times New Roman"/>
          <w:b w:val="0"/>
          <w:i/>
          <w:sz w:val="20"/>
        </w:rPr>
        <w:t>Continued on next page</w:t>
      </w:r>
    </w:p>
    <w:p w14:paraId="2F0EB8E7" w14:textId="76893F8D" w:rsidR="00793056" w:rsidRPr="00793056" w:rsidRDefault="00793056" w:rsidP="00793056">
      <w:pPr>
        <w:pStyle w:val="Heading2"/>
        <w:jc w:val="left"/>
        <w:rPr>
          <w:b w:val="0"/>
        </w:rPr>
      </w:pPr>
      <w:r>
        <w:lastRenderedPageBreak/>
        <w:t>4.  General Guidelines,</w:t>
      </w:r>
      <w:r>
        <w:rPr>
          <w:b w:val="0"/>
        </w:rPr>
        <w:t xml:space="preserve"> </w:t>
      </w:r>
      <w:r w:rsidR="00435CFC">
        <w:rPr>
          <w:b w:val="0"/>
          <w:sz w:val="24"/>
          <w:szCs w:val="24"/>
        </w:rPr>
        <w:t>C</w:t>
      </w:r>
      <w:r w:rsidRPr="00435CFC">
        <w:rPr>
          <w:b w:val="0"/>
          <w:sz w:val="24"/>
          <w:szCs w:val="24"/>
        </w:rPr>
        <w:t>ontinued</w:t>
      </w:r>
    </w:p>
    <w:p w14:paraId="2F0EB8E8" w14:textId="77777777" w:rsidR="00793056" w:rsidRPr="00472B4C" w:rsidRDefault="00793056" w:rsidP="00793056">
      <w:pPr>
        <w:pStyle w:val="BlockLine"/>
        <w:rPr>
          <w:sz w:val="36"/>
          <w:szCs w:val="36"/>
        </w:rPr>
      </w:pPr>
    </w:p>
    <w:tbl>
      <w:tblPr>
        <w:tblW w:w="0" w:type="auto"/>
        <w:tblLayout w:type="fixed"/>
        <w:tblLook w:val="0000" w:firstRow="0" w:lastRow="0" w:firstColumn="0" w:lastColumn="0" w:noHBand="0" w:noVBand="0"/>
      </w:tblPr>
      <w:tblGrid>
        <w:gridCol w:w="1728"/>
        <w:gridCol w:w="7740"/>
      </w:tblGrid>
      <w:tr w:rsidR="00CF2186" w14:paraId="2F0EB8F4" w14:textId="77777777" w:rsidTr="00717114">
        <w:trPr>
          <w:cantSplit/>
        </w:trPr>
        <w:tc>
          <w:tcPr>
            <w:tcW w:w="1728" w:type="dxa"/>
          </w:tcPr>
          <w:p w14:paraId="2F0EB8E9" w14:textId="77777777" w:rsidR="00CF2186" w:rsidRPr="00F42651" w:rsidRDefault="00FE4534" w:rsidP="00F42651">
            <w:pPr>
              <w:pStyle w:val="Heading5"/>
              <w:rPr>
                <w:sz w:val="24"/>
                <w:szCs w:val="24"/>
              </w:rPr>
            </w:pPr>
            <w:proofErr w:type="gramStart"/>
            <w:r w:rsidRPr="00F42651">
              <w:rPr>
                <w:sz w:val="24"/>
                <w:szCs w:val="24"/>
              </w:rPr>
              <w:t xml:space="preserve">b. </w:t>
            </w:r>
            <w:r w:rsidR="00F42651" w:rsidRPr="00F42651">
              <w:rPr>
                <w:sz w:val="24"/>
                <w:szCs w:val="24"/>
              </w:rPr>
              <w:t xml:space="preserve"> </w:t>
            </w:r>
            <w:r w:rsidR="00F42651">
              <w:rPr>
                <w:sz w:val="24"/>
                <w:szCs w:val="24"/>
              </w:rPr>
              <w:t>Type</w:t>
            </w:r>
            <w:proofErr w:type="gramEnd"/>
            <w:r w:rsidR="00F42651">
              <w:rPr>
                <w:sz w:val="24"/>
                <w:szCs w:val="24"/>
              </w:rPr>
              <w:t xml:space="preserve"> “6” Loan C</w:t>
            </w:r>
            <w:r w:rsidR="00F42651" w:rsidRPr="00F42651">
              <w:rPr>
                <w:sz w:val="24"/>
                <w:szCs w:val="24"/>
              </w:rPr>
              <w:t xml:space="preserve">losed </w:t>
            </w:r>
            <w:r w:rsidR="00F42651">
              <w:rPr>
                <w:i/>
                <w:sz w:val="24"/>
                <w:szCs w:val="24"/>
              </w:rPr>
              <w:t>on or A</w:t>
            </w:r>
            <w:r w:rsidR="00F42651" w:rsidRPr="00F42651">
              <w:rPr>
                <w:i/>
                <w:sz w:val="24"/>
                <w:szCs w:val="24"/>
              </w:rPr>
              <w:t>fter</w:t>
            </w:r>
            <w:r w:rsidR="00F42651">
              <w:rPr>
                <w:sz w:val="24"/>
                <w:szCs w:val="24"/>
              </w:rPr>
              <w:t xml:space="preserve"> January 1, 1990, GIF L</w:t>
            </w:r>
            <w:r w:rsidR="00F42651" w:rsidRPr="00F42651">
              <w:rPr>
                <w:sz w:val="24"/>
                <w:szCs w:val="24"/>
              </w:rPr>
              <w:t>oans - Obligor at Termination / Compromise Sale</w:t>
            </w:r>
          </w:p>
        </w:tc>
        <w:tc>
          <w:tcPr>
            <w:tcW w:w="7740" w:type="dxa"/>
          </w:tcPr>
          <w:tbl>
            <w:tblPr>
              <w:tblStyle w:val="TableGrid"/>
              <w:tblW w:w="13061" w:type="dxa"/>
              <w:tblLayout w:type="fixed"/>
              <w:tblLook w:val="04A0" w:firstRow="1" w:lastRow="0" w:firstColumn="1" w:lastColumn="0" w:noHBand="0" w:noVBand="1"/>
            </w:tblPr>
            <w:tblGrid>
              <w:gridCol w:w="1867"/>
              <w:gridCol w:w="5760"/>
              <w:gridCol w:w="5434"/>
            </w:tblGrid>
            <w:tr w:rsidR="00F42651" w14:paraId="2F0EB8EE" w14:textId="77777777" w:rsidTr="00A161AF">
              <w:tc>
                <w:tcPr>
                  <w:tcW w:w="1867" w:type="dxa"/>
                </w:tcPr>
                <w:p w14:paraId="2F0EB8EA" w14:textId="77777777" w:rsidR="00F42651" w:rsidRPr="00F42651" w:rsidRDefault="00F42651" w:rsidP="00F42651">
                  <w:pPr>
                    <w:pStyle w:val="BlockText"/>
                    <w:rPr>
                      <w:b/>
                    </w:rPr>
                  </w:pPr>
                  <w:r w:rsidRPr="00F42651">
                    <w:rPr>
                      <w:b/>
                    </w:rPr>
                    <w:t>Original Veteran-Borrower</w:t>
                  </w:r>
                </w:p>
              </w:tc>
              <w:tc>
                <w:tcPr>
                  <w:tcW w:w="5760" w:type="dxa"/>
                </w:tcPr>
                <w:p w14:paraId="2F0EB8EB" w14:textId="77777777" w:rsidR="00F42651" w:rsidRPr="00505501" w:rsidRDefault="00F42651" w:rsidP="00533321">
                  <w:pPr>
                    <w:pStyle w:val="BlockText"/>
                    <w:spacing w:after="120"/>
                  </w:pPr>
                  <w:r w:rsidRPr="00505501">
                    <w:t>If there is no finding of fraud, misrepresentat</w:t>
                  </w:r>
                  <w:r>
                    <w:t>ion, or bad faith, the original V</w:t>
                  </w:r>
                  <w:r w:rsidRPr="00505501">
                    <w:t>eteran is released from liability for the loss incurred.</w:t>
                  </w:r>
                </w:p>
                <w:p w14:paraId="2F0EB8EC" w14:textId="77777777" w:rsidR="00F42651" w:rsidRDefault="00F42651" w:rsidP="00533321">
                  <w:pPr>
                    <w:pStyle w:val="BlockText"/>
                    <w:spacing w:after="120"/>
                  </w:pPr>
                  <w:r w:rsidRPr="00505501">
                    <w:t>If fraud, misrepresen</w:t>
                  </w:r>
                  <w:r>
                    <w:t>tation, or bad faith is found by VA, the VA Loan Electronic Reporting Interface (VALERI) notes section</w:t>
                  </w:r>
                  <w:r w:rsidRPr="00505501">
                    <w:t xml:space="preserve"> must explain the nature of VA’s findings.</w:t>
                  </w:r>
                </w:p>
              </w:tc>
              <w:tc>
                <w:tcPr>
                  <w:tcW w:w="5434" w:type="dxa"/>
                </w:tcPr>
                <w:p w14:paraId="2F0EB8ED" w14:textId="77777777" w:rsidR="00F42651" w:rsidRDefault="00F42651" w:rsidP="00F42651">
                  <w:pPr>
                    <w:pStyle w:val="BlockText"/>
                  </w:pPr>
                </w:p>
              </w:tc>
            </w:tr>
            <w:tr w:rsidR="00F42651" w14:paraId="2F0EB8F2" w14:textId="77777777" w:rsidTr="00A161AF">
              <w:tc>
                <w:tcPr>
                  <w:tcW w:w="1867" w:type="dxa"/>
                </w:tcPr>
                <w:p w14:paraId="2F0EB8EF" w14:textId="77777777" w:rsidR="00F42651" w:rsidRPr="00F42651" w:rsidRDefault="00F42651" w:rsidP="00F42651">
                  <w:pPr>
                    <w:pStyle w:val="BlockText"/>
                    <w:rPr>
                      <w:b/>
                    </w:rPr>
                  </w:pPr>
                  <w:r w:rsidRPr="00F42651">
                    <w:rPr>
                      <w:b/>
                    </w:rPr>
                    <w:t>Transferee Owner</w:t>
                  </w:r>
                </w:p>
              </w:tc>
              <w:tc>
                <w:tcPr>
                  <w:tcW w:w="5760" w:type="dxa"/>
                </w:tcPr>
                <w:p w14:paraId="2F0EB8F0" w14:textId="77777777" w:rsidR="00F42651" w:rsidRDefault="00F42651" w:rsidP="00533321">
                  <w:pPr>
                    <w:pStyle w:val="BlockText"/>
                    <w:spacing w:after="120"/>
                  </w:pPr>
                  <w:r w:rsidRPr="00505501">
                    <w:t>These loans are not freely assumable.  Therefore, a release</w:t>
                  </w:r>
                  <w:r>
                    <w:t xml:space="preserve"> of liability for the original V</w:t>
                  </w:r>
                  <w:r w:rsidRPr="00505501">
                    <w:t xml:space="preserve">eteran should have been approved by the servicer or VA </w:t>
                  </w:r>
                  <w:r>
                    <w:t>prior to the transfer.  If the V</w:t>
                  </w:r>
                  <w:r w:rsidRPr="00505501">
                    <w:t xml:space="preserve">eteran did not seek prior approval, he or she has demonstrated bad faith and will be liable.  </w:t>
                  </w:r>
                  <w:r w:rsidRPr="008750BB">
                    <w:t>The transferee borrower is liable to VA.  An early decision on the collectability of a debt to the Government should have been made.  A pre-foreclosure debt waiver</w:t>
                  </w:r>
                  <w:r w:rsidRPr="00505501">
                    <w:t xml:space="preserve"> decision to release all or a portion of the estimated debt should depend on the feasibility of collecting the indebtedness and the transferee’s cooperation with VA servicing efforts.</w:t>
                  </w:r>
                </w:p>
              </w:tc>
              <w:tc>
                <w:tcPr>
                  <w:tcW w:w="5434" w:type="dxa"/>
                </w:tcPr>
                <w:p w14:paraId="2F0EB8F1" w14:textId="77777777" w:rsidR="00F42651" w:rsidRDefault="00F42651" w:rsidP="00F42651">
                  <w:pPr>
                    <w:pStyle w:val="BlockText"/>
                  </w:pPr>
                </w:p>
              </w:tc>
            </w:tr>
          </w:tbl>
          <w:p w14:paraId="2F0EB8F3" w14:textId="77777777" w:rsidR="00FE4534" w:rsidRPr="0048737E" w:rsidRDefault="00FE4534" w:rsidP="00F42651">
            <w:pPr>
              <w:pStyle w:val="BlockText"/>
            </w:pPr>
          </w:p>
        </w:tc>
      </w:tr>
    </w:tbl>
    <w:p w14:paraId="2F0EB8F5" w14:textId="77777777" w:rsidR="00FC6E3E" w:rsidRPr="00435CFC" w:rsidRDefault="00FC6E3E" w:rsidP="00FC6E3E">
      <w:pPr>
        <w:rPr>
          <w:sz w:val="4"/>
          <w:szCs w:val="4"/>
        </w:rPr>
      </w:pPr>
    </w:p>
    <w:p w14:paraId="2F0EB8F6" w14:textId="77777777" w:rsidR="00CF2186" w:rsidRPr="00472B4C" w:rsidRDefault="00FC6E3E" w:rsidP="00F42651">
      <w:pPr>
        <w:pStyle w:val="Heading4"/>
        <w:rPr>
          <w:sz w:val="28"/>
          <w:szCs w:val="28"/>
        </w:rPr>
      </w:pPr>
      <w:r>
        <w:t xml:space="preserve">   </w:t>
      </w:r>
    </w:p>
    <w:p w14:paraId="22190508" w14:textId="77777777" w:rsidR="00435CFC" w:rsidRDefault="00435CFC" w:rsidP="00435CFC">
      <w:pPr>
        <w:pStyle w:val="BlockLine"/>
        <w:pBdr>
          <w:top w:val="single" w:sz="6" w:space="0" w:color="000000"/>
        </w:pBdr>
      </w:pPr>
    </w:p>
    <w:p w14:paraId="2F0EB8F7" w14:textId="1CB0DDE2" w:rsidR="00C95E3A" w:rsidRDefault="00C95E3A" w:rsidP="00435CFC">
      <w:pPr>
        <w:spacing w:after="200" w:line="276" w:lineRule="auto"/>
      </w:pPr>
    </w:p>
    <w:sectPr w:rsidR="00C95E3A" w:rsidSect="00A161AF">
      <w:headerReference w:type="even" r:id="rId18"/>
      <w:headerReference w:type="default" r:id="rId19"/>
      <w:footerReference w:type="even" r:id="rId20"/>
      <w:footerReference w:type="default" r:id="rId2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8FA" w14:textId="77777777" w:rsidR="00BA5F5F" w:rsidRDefault="00BA5F5F" w:rsidP="00BA5F5F">
      <w:r>
        <w:separator/>
      </w:r>
    </w:p>
  </w:endnote>
  <w:endnote w:type="continuationSeparator" w:id="0">
    <w:p w14:paraId="2F0EB8FB" w14:textId="77777777" w:rsidR="00BA5F5F" w:rsidRDefault="00BA5F5F" w:rsidP="00BA5F5F">
      <w:r>
        <w:continuationSeparator/>
      </w:r>
    </w:p>
  </w:endnote>
  <w:endnote w:type="continuationNotice" w:id="1">
    <w:p w14:paraId="54E71933" w14:textId="77777777" w:rsidR="00023199" w:rsidRDefault="0002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1373"/>
      <w:docPartObj>
        <w:docPartGallery w:val="Page Numbers (Bottom of Page)"/>
        <w:docPartUnique/>
      </w:docPartObj>
    </w:sdtPr>
    <w:sdtEndPr>
      <w:rPr>
        <w:noProof/>
      </w:rPr>
    </w:sdtEndPr>
    <w:sdtContent>
      <w:p w14:paraId="2F0EB902" w14:textId="77777777" w:rsidR="00BA5F5F" w:rsidRDefault="001D4876">
        <w:pPr>
          <w:pStyle w:val="Footer"/>
        </w:pPr>
        <w:r>
          <w:t>B-</w:t>
        </w:r>
        <w:r w:rsidR="00BA5F5F">
          <w:fldChar w:fldCharType="begin"/>
        </w:r>
        <w:r w:rsidR="00BA5F5F">
          <w:instrText xml:space="preserve"> PAGE   \* MERGEFORMAT </w:instrText>
        </w:r>
        <w:r w:rsidR="00BA5F5F">
          <w:fldChar w:fldCharType="separate"/>
        </w:r>
        <w:r w:rsidR="00083DE9">
          <w:rPr>
            <w:noProof/>
          </w:rPr>
          <w:t>2</w:t>
        </w:r>
        <w:r w:rsidR="00BA5F5F">
          <w:rPr>
            <w:noProof/>
          </w:rPr>
          <w:fldChar w:fldCharType="end"/>
        </w:r>
      </w:p>
    </w:sdtContent>
  </w:sdt>
  <w:p w14:paraId="2F0EB903" w14:textId="77777777" w:rsidR="00BA5F5F" w:rsidRDefault="00BA5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B904" w14:textId="77777777" w:rsidR="00BA5F5F" w:rsidRDefault="00BA5F5F">
    <w:pPr>
      <w:pStyle w:val="Footer"/>
      <w:jc w:val="right"/>
    </w:pPr>
    <w:r>
      <w:t>B-</w:t>
    </w:r>
    <w:sdt>
      <w:sdtPr>
        <w:id w:val="-10081257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3DE9">
          <w:rPr>
            <w:noProof/>
          </w:rPr>
          <w:t>1</w:t>
        </w:r>
        <w:r>
          <w:rPr>
            <w:noProof/>
          </w:rPr>
          <w:fldChar w:fldCharType="end"/>
        </w:r>
      </w:sdtContent>
    </w:sdt>
  </w:p>
  <w:p w14:paraId="2F0EB905" w14:textId="77777777" w:rsidR="00BA5F5F" w:rsidRDefault="00BA5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EB8F8" w14:textId="77777777" w:rsidR="00BA5F5F" w:rsidRDefault="00BA5F5F" w:rsidP="00BA5F5F">
      <w:r>
        <w:separator/>
      </w:r>
    </w:p>
  </w:footnote>
  <w:footnote w:type="continuationSeparator" w:id="0">
    <w:p w14:paraId="2F0EB8F9" w14:textId="77777777" w:rsidR="00BA5F5F" w:rsidRDefault="00BA5F5F" w:rsidP="00BA5F5F">
      <w:r>
        <w:continuationSeparator/>
      </w:r>
    </w:p>
  </w:footnote>
  <w:footnote w:type="continuationNotice" w:id="1">
    <w:p w14:paraId="755BB523" w14:textId="77777777" w:rsidR="00023199" w:rsidRDefault="000231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B8FC" w14:textId="77777777" w:rsidR="00F01742" w:rsidRPr="00F065DA" w:rsidRDefault="00F01742" w:rsidP="00F01742">
    <w:pPr>
      <w:pStyle w:val="Header"/>
      <w:tabs>
        <w:tab w:val="right" w:pos="9270"/>
      </w:tabs>
      <w:rPr>
        <w:i/>
        <w:iCs/>
      </w:rPr>
    </w:pPr>
    <w:r>
      <w:rPr>
        <w:i/>
        <w:iCs/>
      </w:rPr>
      <w:t xml:space="preserve">VA </w:t>
    </w:r>
    <w:r w:rsidRPr="00F065DA">
      <w:rPr>
        <w:i/>
        <w:iCs/>
      </w:rPr>
      <w:t>M</w:t>
    </w:r>
    <w:r>
      <w:rPr>
        <w:i/>
        <w:iCs/>
      </w:rPr>
      <w:t xml:space="preserve">anual </w:t>
    </w:r>
    <w:r w:rsidRPr="00F065DA">
      <w:rPr>
        <w:i/>
        <w:iCs/>
      </w:rPr>
      <w:t>26-9, Revised</w:t>
    </w:r>
  </w:p>
  <w:p w14:paraId="2F0EB8FD" w14:textId="77777777" w:rsidR="00F01742" w:rsidRPr="00F065DA" w:rsidRDefault="00F01742" w:rsidP="00F01742">
    <w:pPr>
      <w:pStyle w:val="Header"/>
      <w:tabs>
        <w:tab w:val="right" w:pos="9270"/>
      </w:tabs>
      <w:rPr>
        <w:i/>
        <w:iCs/>
      </w:rPr>
    </w:pPr>
    <w:r>
      <w:rPr>
        <w:i/>
        <w:iCs/>
      </w:rPr>
      <w:t>Appendix B:  Background for Liability Issues</w:t>
    </w:r>
  </w:p>
  <w:p w14:paraId="2F0EB8FE" w14:textId="77777777" w:rsidR="00BA5F5F" w:rsidRPr="00F01742" w:rsidRDefault="00BA5F5F" w:rsidP="00F01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B8FF" w14:textId="77777777" w:rsidR="00F01742" w:rsidRPr="00F065DA" w:rsidRDefault="00F01742" w:rsidP="00F01742">
    <w:pPr>
      <w:pStyle w:val="Header"/>
      <w:tabs>
        <w:tab w:val="right" w:pos="9270"/>
      </w:tabs>
      <w:jc w:val="right"/>
      <w:rPr>
        <w:i/>
        <w:iCs/>
      </w:rPr>
    </w:pPr>
    <w:r>
      <w:rPr>
        <w:i/>
        <w:iCs/>
      </w:rPr>
      <w:t xml:space="preserve">VA </w:t>
    </w:r>
    <w:r w:rsidRPr="00F065DA">
      <w:rPr>
        <w:i/>
        <w:iCs/>
      </w:rPr>
      <w:t>M</w:t>
    </w:r>
    <w:r>
      <w:rPr>
        <w:i/>
        <w:iCs/>
      </w:rPr>
      <w:t xml:space="preserve">anual </w:t>
    </w:r>
    <w:r w:rsidRPr="00F065DA">
      <w:rPr>
        <w:i/>
        <w:iCs/>
      </w:rPr>
      <w:t>26-9, Revised</w:t>
    </w:r>
  </w:p>
  <w:p w14:paraId="2F0EB900" w14:textId="77777777" w:rsidR="00F01742" w:rsidRPr="00F065DA" w:rsidRDefault="00F01742" w:rsidP="00F01742">
    <w:pPr>
      <w:pStyle w:val="Header"/>
      <w:tabs>
        <w:tab w:val="right" w:pos="9270"/>
      </w:tabs>
      <w:jc w:val="right"/>
      <w:rPr>
        <w:i/>
        <w:iCs/>
      </w:rPr>
    </w:pPr>
    <w:r>
      <w:rPr>
        <w:i/>
        <w:iCs/>
      </w:rPr>
      <w:t>Appendix B:  Background for Liability Issues</w:t>
    </w:r>
  </w:p>
  <w:p w14:paraId="2F0EB901" w14:textId="77777777" w:rsidR="00BA5F5F" w:rsidRPr="00F01742" w:rsidRDefault="00BA5F5F" w:rsidP="00F01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A5E"/>
    <w:multiLevelType w:val="hybridMultilevel"/>
    <w:tmpl w:val="CCA0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57F"/>
    <w:multiLevelType w:val="hybridMultilevel"/>
    <w:tmpl w:val="6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E6548"/>
    <w:multiLevelType w:val="hybridMultilevel"/>
    <w:tmpl w:val="AAAE6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F51D4"/>
    <w:multiLevelType w:val="hybridMultilevel"/>
    <w:tmpl w:val="F30CC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D2D32"/>
    <w:multiLevelType w:val="hybridMultilevel"/>
    <w:tmpl w:val="41D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0784A"/>
    <w:multiLevelType w:val="hybridMultilevel"/>
    <w:tmpl w:val="F320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3C1BAD"/>
    <w:multiLevelType w:val="hybridMultilevel"/>
    <w:tmpl w:val="00A8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C6D4B"/>
    <w:multiLevelType w:val="hybridMultilevel"/>
    <w:tmpl w:val="722EC204"/>
    <w:lvl w:ilvl="0" w:tplc="AC084C82">
      <w:start w:val="1"/>
      <w:numFmt w:val="decimal"/>
      <w:pStyle w:val="Numbered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A84547"/>
    <w:multiLevelType w:val="hybridMultilevel"/>
    <w:tmpl w:val="139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B3D68"/>
    <w:multiLevelType w:val="hybridMultilevel"/>
    <w:tmpl w:val="5B4620F2"/>
    <w:lvl w:ilvl="0" w:tplc="69568EE6">
      <w:start w:val="1"/>
      <w:numFmt w:val="bullet"/>
      <w:lvlText w:val="·"/>
      <w:lvlJc w:val="left"/>
      <w:pPr>
        <w:tabs>
          <w:tab w:val="num" w:pos="173"/>
        </w:tabs>
        <w:ind w:left="173" w:hanging="17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1775C8"/>
    <w:multiLevelType w:val="hybridMultilevel"/>
    <w:tmpl w:val="7A90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12">
    <w:nsid w:val="6F450A31"/>
    <w:multiLevelType w:val="hybridMultilevel"/>
    <w:tmpl w:val="557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209CB"/>
    <w:multiLevelType w:val="hybridMultilevel"/>
    <w:tmpl w:val="DB5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0730F"/>
    <w:multiLevelType w:val="hybridMultilevel"/>
    <w:tmpl w:val="BCAE0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4"/>
  </w:num>
  <w:num w:numId="4">
    <w:abstractNumId w:val="5"/>
  </w:num>
  <w:num w:numId="5">
    <w:abstractNumId w:val="14"/>
  </w:num>
  <w:num w:numId="6">
    <w:abstractNumId w:val="2"/>
  </w:num>
  <w:num w:numId="7">
    <w:abstractNumId w:val="1"/>
  </w:num>
  <w:num w:numId="8">
    <w:abstractNumId w:val="10"/>
  </w:num>
  <w:num w:numId="9">
    <w:abstractNumId w:val="13"/>
  </w:num>
  <w:num w:numId="10">
    <w:abstractNumId w:val="6"/>
  </w:num>
  <w:num w:numId="11">
    <w:abstractNumId w:val="8"/>
  </w:num>
  <w:num w:numId="12">
    <w:abstractNumId w:val="3"/>
  </w:num>
  <w:num w:numId="13">
    <w:abstractNumId w:val="15"/>
  </w:num>
  <w:num w:numId="14">
    <w:abstractNumId w:val="15"/>
  </w:num>
  <w:num w:numId="15">
    <w:abstractNumId w:val="7"/>
  </w:num>
  <w:num w:numId="16">
    <w:abstractNumId w:val="12"/>
  </w:num>
  <w:num w:numId="17">
    <w:abstractNumId w:val="7"/>
    <w:lvlOverride w:ilvl="0">
      <w:startOverride w:val="1"/>
    </w:lvlOverride>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86"/>
    <w:rsid w:val="00023199"/>
    <w:rsid w:val="00083DE9"/>
    <w:rsid w:val="001D4876"/>
    <w:rsid w:val="0024176A"/>
    <w:rsid w:val="002738C4"/>
    <w:rsid w:val="002D0C28"/>
    <w:rsid w:val="0031496E"/>
    <w:rsid w:val="0035228F"/>
    <w:rsid w:val="00422E93"/>
    <w:rsid w:val="00423161"/>
    <w:rsid w:val="00435CFC"/>
    <w:rsid w:val="00443F35"/>
    <w:rsid w:val="004568D0"/>
    <w:rsid w:val="00472B4C"/>
    <w:rsid w:val="00601998"/>
    <w:rsid w:val="00644319"/>
    <w:rsid w:val="00673BCA"/>
    <w:rsid w:val="00745FFC"/>
    <w:rsid w:val="00752009"/>
    <w:rsid w:val="00793056"/>
    <w:rsid w:val="00A161AF"/>
    <w:rsid w:val="00A654A6"/>
    <w:rsid w:val="00A75FB9"/>
    <w:rsid w:val="00A7756A"/>
    <w:rsid w:val="00B756C6"/>
    <w:rsid w:val="00BA5F5F"/>
    <w:rsid w:val="00C752B4"/>
    <w:rsid w:val="00C95E3A"/>
    <w:rsid w:val="00CF2186"/>
    <w:rsid w:val="00D34E22"/>
    <w:rsid w:val="00D76FBA"/>
    <w:rsid w:val="00DA152A"/>
    <w:rsid w:val="00E96F86"/>
    <w:rsid w:val="00F01742"/>
    <w:rsid w:val="00F42651"/>
    <w:rsid w:val="00F617E0"/>
    <w:rsid w:val="00FB24DC"/>
    <w:rsid w:val="00FB2686"/>
    <w:rsid w:val="00FC6E3E"/>
    <w:rsid w:val="00F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86"/>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CF2186"/>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rsid w:val="00CF2186"/>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CF2186"/>
    <w:pPr>
      <w:spacing w:after="240"/>
      <w:outlineLvl w:val="3"/>
    </w:pPr>
    <w:rPr>
      <w:rFonts w:ascii="Arial" w:hAnsi="Arial"/>
      <w:b/>
      <w:sz w:val="32"/>
    </w:rPr>
  </w:style>
  <w:style w:type="paragraph" w:styleId="Heading5">
    <w:name w:val="heading 5"/>
    <w:aliases w:val="Block Label"/>
    <w:basedOn w:val="Normal"/>
    <w:next w:val="Normal"/>
    <w:link w:val="Heading5Char"/>
    <w:qFormat/>
    <w:rsid w:val="00CF2186"/>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CF2186"/>
    <w:rPr>
      <w:rFonts w:ascii="Arial" w:eastAsia="Times New Roman" w:hAnsi="Arial" w:cs="Times New Roman"/>
      <w:b/>
      <w:sz w:val="32"/>
      <w:szCs w:val="20"/>
    </w:rPr>
  </w:style>
  <w:style w:type="character" w:customStyle="1" w:styleId="Heading3Char">
    <w:name w:val="Heading 3 Char"/>
    <w:aliases w:val="Section Title Char"/>
    <w:basedOn w:val="DefaultParagraphFont"/>
    <w:link w:val="Heading3"/>
    <w:rsid w:val="00CF2186"/>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CF2186"/>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CF2186"/>
    <w:rPr>
      <w:rFonts w:ascii="Times New Roman" w:eastAsia="Times New Roman" w:hAnsi="Times New Roman" w:cs="Times New Roman"/>
      <w:b/>
      <w:szCs w:val="20"/>
    </w:rPr>
  </w:style>
  <w:style w:type="paragraph" w:customStyle="1" w:styleId="BulletText2">
    <w:name w:val="Bullet Text 2"/>
    <w:basedOn w:val="Normal"/>
    <w:rsid w:val="00CF2186"/>
    <w:pPr>
      <w:numPr>
        <w:numId w:val="2"/>
      </w:numPr>
      <w:tabs>
        <w:tab w:val="left" w:pos="374"/>
      </w:tabs>
    </w:pPr>
  </w:style>
  <w:style w:type="paragraph" w:customStyle="1" w:styleId="BlockLine">
    <w:name w:val="Block Line"/>
    <w:basedOn w:val="Normal"/>
    <w:next w:val="Normal"/>
    <w:rsid w:val="00CF2186"/>
    <w:pPr>
      <w:pBdr>
        <w:top w:val="single" w:sz="6" w:space="1" w:color="auto"/>
        <w:between w:val="single" w:sz="6" w:space="1" w:color="auto"/>
      </w:pBdr>
      <w:spacing w:before="240"/>
      <w:ind w:left="1700"/>
    </w:pPr>
  </w:style>
  <w:style w:type="paragraph" w:styleId="BlockText">
    <w:name w:val="Block Text"/>
    <w:basedOn w:val="Normal"/>
    <w:qFormat/>
    <w:rsid w:val="00CF2186"/>
  </w:style>
  <w:style w:type="paragraph" w:customStyle="1" w:styleId="TableHeaderText">
    <w:name w:val="Table Header Text"/>
    <w:basedOn w:val="TableText"/>
    <w:rsid w:val="00CF2186"/>
    <w:pPr>
      <w:jc w:val="center"/>
    </w:pPr>
    <w:rPr>
      <w:b/>
    </w:rPr>
  </w:style>
  <w:style w:type="paragraph" w:customStyle="1" w:styleId="TableText">
    <w:name w:val="Table Text"/>
    <w:basedOn w:val="Normal"/>
    <w:rsid w:val="00CF2186"/>
  </w:style>
  <w:style w:type="paragraph" w:customStyle="1" w:styleId="BulletText1">
    <w:name w:val="Bullet Text 1"/>
    <w:basedOn w:val="Normal"/>
    <w:qFormat/>
    <w:rsid w:val="00CF2186"/>
    <w:pPr>
      <w:numPr>
        <w:numId w:val="1"/>
      </w:numPr>
      <w:tabs>
        <w:tab w:val="left" w:pos="187"/>
      </w:tabs>
      <w:ind w:left="187" w:hanging="187"/>
    </w:pPr>
  </w:style>
  <w:style w:type="paragraph" w:styleId="BalloonText">
    <w:name w:val="Balloon Text"/>
    <w:basedOn w:val="Normal"/>
    <w:link w:val="BalloonTextChar"/>
    <w:semiHidden/>
    <w:unhideWhenUsed/>
    <w:rsid w:val="00BA5F5F"/>
    <w:rPr>
      <w:rFonts w:ascii="Tahoma" w:hAnsi="Tahoma" w:cs="Tahoma"/>
      <w:sz w:val="16"/>
      <w:szCs w:val="16"/>
    </w:rPr>
  </w:style>
  <w:style w:type="character" w:customStyle="1" w:styleId="BalloonTextChar">
    <w:name w:val="Balloon Text Char"/>
    <w:basedOn w:val="DefaultParagraphFont"/>
    <w:link w:val="BalloonText"/>
    <w:semiHidden/>
    <w:rsid w:val="00BA5F5F"/>
    <w:rPr>
      <w:rFonts w:ascii="Tahoma" w:eastAsia="Times New Roman" w:hAnsi="Tahoma" w:cs="Tahoma"/>
      <w:sz w:val="16"/>
      <w:szCs w:val="16"/>
    </w:rPr>
  </w:style>
  <w:style w:type="paragraph" w:styleId="Header">
    <w:name w:val="header"/>
    <w:basedOn w:val="Normal"/>
    <w:link w:val="HeaderChar"/>
    <w:unhideWhenUsed/>
    <w:rsid w:val="00BA5F5F"/>
    <w:pPr>
      <w:tabs>
        <w:tab w:val="center" w:pos="4680"/>
        <w:tab w:val="right" w:pos="9360"/>
      </w:tabs>
    </w:pPr>
  </w:style>
  <w:style w:type="character" w:customStyle="1" w:styleId="HeaderChar">
    <w:name w:val="Header Char"/>
    <w:basedOn w:val="DefaultParagraphFont"/>
    <w:link w:val="Header"/>
    <w:rsid w:val="00BA5F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5F5F"/>
    <w:pPr>
      <w:tabs>
        <w:tab w:val="center" w:pos="4680"/>
        <w:tab w:val="right" w:pos="9360"/>
      </w:tabs>
    </w:pPr>
  </w:style>
  <w:style w:type="character" w:customStyle="1" w:styleId="FooterChar">
    <w:name w:val="Footer Char"/>
    <w:basedOn w:val="DefaultParagraphFont"/>
    <w:link w:val="Footer"/>
    <w:uiPriority w:val="99"/>
    <w:rsid w:val="00BA5F5F"/>
    <w:rPr>
      <w:rFonts w:ascii="Times New Roman" w:eastAsia="Times New Roman" w:hAnsi="Times New Roman" w:cs="Times New Roman"/>
      <w:sz w:val="24"/>
      <w:szCs w:val="20"/>
    </w:rPr>
  </w:style>
  <w:style w:type="paragraph" w:customStyle="1" w:styleId="NumberedList1">
    <w:name w:val="Numbered List 1"/>
    <w:basedOn w:val="BulletText1"/>
    <w:qFormat/>
    <w:rsid w:val="00F01742"/>
    <w:pPr>
      <w:numPr>
        <w:numId w:val="15"/>
      </w:numPr>
      <w:tabs>
        <w:tab w:val="clear" w:pos="187"/>
        <w:tab w:val="left" w:pos="173"/>
      </w:tabs>
    </w:pPr>
    <w:rPr>
      <w:noProof/>
      <w:color w:val="000000"/>
    </w:rPr>
  </w:style>
  <w:style w:type="character" w:styleId="Hyperlink">
    <w:name w:val="Hyperlink"/>
    <w:uiPriority w:val="99"/>
    <w:rsid w:val="00F01742"/>
    <w:rPr>
      <w:color w:val="0000FF"/>
      <w:u w:val="single"/>
    </w:rPr>
  </w:style>
  <w:style w:type="character" w:styleId="CommentReference">
    <w:name w:val="annotation reference"/>
    <w:basedOn w:val="DefaultParagraphFont"/>
    <w:uiPriority w:val="99"/>
    <w:semiHidden/>
    <w:unhideWhenUsed/>
    <w:rsid w:val="0031496E"/>
    <w:rPr>
      <w:sz w:val="16"/>
      <w:szCs w:val="16"/>
    </w:rPr>
  </w:style>
  <w:style w:type="paragraph" w:styleId="CommentText">
    <w:name w:val="annotation text"/>
    <w:basedOn w:val="Normal"/>
    <w:link w:val="CommentTextChar"/>
    <w:uiPriority w:val="99"/>
    <w:semiHidden/>
    <w:unhideWhenUsed/>
    <w:rsid w:val="0031496E"/>
    <w:rPr>
      <w:sz w:val="20"/>
    </w:rPr>
  </w:style>
  <w:style w:type="character" w:customStyle="1" w:styleId="CommentTextChar">
    <w:name w:val="Comment Text Char"/>
    <w:basedOn w:val="DefaultParagraphFont"/>
    <w:link w:val="CommentText"/>
    <w:uiPriority w:val="99"/>
    <w:semiHidden/>
    <w:rsid w:val="003149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E"/>
    <w:rPr>
      <w:b/>
      <w:bCs/>
    </w:rPr>
  </w:style>
  <w:style w:type="character" w:customStyle="1" w:styleId="CommentSubjectChar">
    <w:name w:val="Comment Subject Char"/>
    <w:basedOn w:val="CommentTextChar"/>
    <w:link w:val="CommentSubject"/>
    <w:uiPriority w:val="99"/>
    <w:semiHidden/>
    <w:rsid w:val="0031496E"/>
    <w:rPr>
      <w:rFonts w:ascii="Times New Roman" w:eastAsia="Times New Roman" w:hAnsi="Times New Roman" w:cs="Times New Roman"/>
      <w:b/>
      <w:bCs/>
      <w:sz w:val="20"/>
      <w:szCs w:val="20"/>
    </w:rPr>
  </w:style>
  <w:style w:type="table" w:styleId="TableGrid">
    <w:name w:val="Table Grid"/>
    <w:basedOn w:val="TableNormal"/>
    <w:uiPriority w:val="59"/>
    <w:rsid w:val="0031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7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86"/>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CF2186"/>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rsid w:val="00CF2186"/>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CF2186"/>
    <w:pPr>
      <w:spacing w:after="240"/>
      <w:outlineLvl w:val="3"/>
    </w:pPr>
    <w:rPr>
      <w:rFonts w:ascii="Arial" w:hAnsi="Arial"/>
      <w:b/>
      <w:sz w:val="32"/>
    </w:rPr>
  </w:style>
  <w:style w:type="paragraph" w:styleId="Heading5">
    <w:name w:val="heading 5"/>
    <w:aliases w:val="Block Label"/>
    <w:basedOn w:val="Normal"/>
    <w:next w:val="Normal"/>
    <w:link w:val="Heading5Char"/>
    <w:qFormat/>
    <w:rsid w:val="00CF2186"/>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CF2186"/>
    <w:rPr>
      <w:rFonts w:ascii="Arial" w:eastAsia="Times New Roman" w:hAnsi="Arial" w:cs="Times New Roman"/>
      <w:b/>
      <w:sz w:val="32"/>
      <w:szCs w:val="20"/>
    </w:rPr>
  </w:style>
  <w:style w:type="character" w:customStyle="1" w:styleId="Heading3Char">
    <w:name w:val="Heading 3 Char"/>
    <w:aliases w:val="Section Title Char"/>
    <w:basedOn w:val="DefaultParagraphFont"/>
    <w:link w:val="Heading3"/>
    <w:rsid w:val="00CF2186"/>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CF2186"/>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CF2186"/>
    <w:rPr>
      <w:rFonts w:ascii="Times New Roman" w:eastAsia="Times New Roman" w:hAnsi="Times New Roman" w:cs="Times New Roman"/>
      <w:b/>
      <w:szCs w:val="20"/>
    </w:rPr>
  </w:style>
  <w:style w:type="paragraph" w:customStyle="1" w:styleId="BulletText2">
    <w:name w:val="Bullet Text 2"/>
    <w:basedOn w:val="Normal"/>
    <w:rsid w:val="00CF2186"/>
    <w:pPr>
      <w:numPr>
        <w:numId w:val="2"/>
      </w:numPr>
      <w:tabs>
        <w:tab w:val="left" w:pos="374"/>
      </w:tabs>
    </w:pPr>
  </w:style>
  <w:style w:type="paragraph" w:customStyle="1" w:styleId="BlockLine">
    <w:name w:val="Block Line"/>
    <w:basedOn w:val="Normal"/>
    <w:next w:val="Normal"/>
    <w:rsid w:val="00CF2186"/>
    <w:pPr>
      <w:pBdr>
        <w:top w:val="single" w:sz="6" w:space="1" w:color="auto"/>
        <w:between w:val="single" w:sz="6" w:space="1" w:color="auto"/>
      </w:pBdr>
      <w:spacing w:before="240"/>
      <w:ind w:left="1700"/>
    </w:pPr>
  </w:style>
  <w:style w:type="paragraph" w:styleId="BlockText">
    <w:name w:val="Block Text"/>
    <w:basedOn w:val="Normal"/>
    <w:qFormat/>
    <w:rsid w:val="00CF2186"/>
  </w:style>
  <w:style w:type="paragraph" w:customStyle="1" w:styleId="TableHeaderText">
    <w:name w:val="Table Header Text"/>
    <w:basedOn w:val="TableText"/>
    <w:rsid w:val="00CF2186"/>
    <w:pPr>
      <w:jc w:val="center"/>
    </w:pPr>
    <w:rPr>
      <w:b/>
    </w:rPr>
  </w:style>
  <w:style w:type="paragraph" w:customStyle="1" w:styleId="TableText">
    <w:name w:val="Table Text"/>
    <w:basedOn w:val="Normal"/>
    <w:rsid w:val="00CF2186"/>
  </w:style>
  <w:style w:type="paragraph" w:customStyle="1" w:styleId="BulletText1">
    <w:name w:val="Bullet Text 1"/>
    <w:basedOn w:val="Normal"/>
    <w:qFormat/>
    <w:rsid w:val="00CF2186"/>
    <w:pPr>
      <w:numPr>
        <w:numId w:val="1"/>
      </w:numPr>
      <w:tabs>
        <w:tab w:val="left" w:pos="187"/>
      </w:tabs>
      <w:ind w:left="187" w:hanging="187"/>
    </w:pPr>
  </w:style>
  <w:style w:type="paragraph" w:styleId="BalloonText">
    <w:name w:val="Balloon Text"/>
    <w:basedOn w:val="Normal"/>
    <w:link w:val="BalloonTextChar"/>
    <w:semiHidden/>
    <w:unhideWhenUsed/>
    <w:rsid w:val="00BA5F5F"/>
    <w:rPr>
      <w:rFonts w:ascii="Tahoma" w:hAnsi="Tahoma" w:cs="Tahoma"/>
      <w:sz w:val="16"/>
      <w:szCs w:val="16"/>
    </w:rPr>
  </w:style>
  <w:style w:type="character" w:customStyle="1" w:styleId="BalloonTextChar">
    <w:name w:val="Balloon Text Char"/>
    <w:basedOn w:val="DefaultParagraphFont"/>
    <w:link w:val="BalloonText"/>
    <w:semiHidden/>
    <w:rsid w:val="00BA5F5F"/>
    <w:rPr>
      <w:rFonts w:ascii="Tahoma" w:eastAsia="Times New Roman" w:hAnsi="Tahoma" w:cs="Tahoma"/>
      <w:sz w:val="16"/>
      <w:szCs w:val="16"/>
    </w:rPr>
  </w:style>
  <w:style w:type="paragraph" w:styleId="Header">
    <w:name w:val="header"/>
    <w:basedOn w:val="Normal"/>
    <w:link w:val="HeaderChar"/>
    <w:unhideWhenUsed/>
    <w:rsid w:val="00BA5F5F"/>
    <w:pPr>
      <w:tabs>
        <w:tab w:val="center" w:pos="4680"/>
        <w:tab w:val="right" w:pos="9360"/>
      </w:tabs>
    </w:pPr>
  </w:style>
  <w:style w:type="character" w:customStyle="1" w:styleId="HeaderChar">
    <w:name w:val="Header Char"/>
    <w:basedOn w:val="DefaultParagraphFont"/>
    <w:link w:val="Header"/>
    <w:rsid w:val="00BA5F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5F5F"/>
    <w:pPr>
      <w:tabs>
        <w:tab w:val="center" w:pos="4680"/>
        <w:tab w:val="right" w:pos="9360"/>
      </w:tabs>
    </w:pPr>
  </w:style>
  <w:style w:type="character" w:customStyle="1" w:styleId="FooterChar">
    <w:name w:val="Footer Char"/>
    <w:basedOn w:val="DefaultParagraphFont"/>
    <w:link w:val="Footer"/>
    <w:uiPriority w:val="99"/>
    <w:rsid w:val="00BA5F5F"/>
    <w:rPr>
      <w:rFonts w:ascii="Times New Roman" w:eastAsia="Times New Roman" w:hAnsi="Times New Roman" w:cs="Times New Roman"/>
      <w:sz w:val="24"/>
      <w:szCs w:val="20"/>
    </w:rPr>
  </w:style>
  <w:style w:type="paragraph" w:customStyle="1" w:styleId="NumberedList1">
    <w:name w:val="Numbered List 1"/>
    <w:basedOn w:val="BulletText1"/>
    <w:qFormat/>
    <w:rsid w:val="00F01742"/>
    <w:pPr>
      <w:numPr>
        <w:numId w:val="15"/>
      </w:numPr>
      <w:tabs>
        <w:tab w:val="clear" w:pos="187"/>
        <w:tab w:val="left" w:pos="173"/>
      </w:tabs>
    </w:pPr>
    <w:rPr>
      <w:noProof/>
      <w:color w:val="000000"/>
    </w:rPr>
  </w:style>
  <w:style w:type="character" w:styleId="Hyperlink">
    <w:name w:val="Hyperlink"/>
    <w:uiPriority w:val="99"/>
    <w:rsid w:val="00F01742"/>
    <w:rPr>
      <w:color w:val="0000FF"/>
      <w:u w:val="single"/>
    </w:rPr>
  </w:style>
  <w:style w:type="character" w:styleId="CommentReference">
    <w:name w:val="annotation reference"/>
    <w:basedOn w:val="DefaultParagraphFont"/>
    <w:uiPriority w:val="99"/>
    <w:semiHidden/>
    <w:unhideWhenUsed/>
    <w:rsid w:val="0031496E"/>
    <w:rPr>
      <w:sz w:val="16"/>
      <w:szCs w:val="16"/>
    </w:rPr>
  </w:style>
  <w:style w:type="paragraph" w:styleId="CommentText">
    <w:name w:val="annotation text"/>
    <w:basedOn w:val="Normal"/>
    <w:link w:val="CommentTextChar"/>
    <w:uiPriority w:val="99"/>
    <w:semiHidden/>
    <w:unhideWhenUsed/>
    <w:rsid w:val="0031496E"/>
    <w:rPr>
      <w:sz w:val="20"/>
    </w:rPr>
  </w:style>
  <w:style w:type="character" w:customStyle="1" w:styleId="CommentTextChar">
    <w:name w:val="Comment Text Char"/>
    <w:basedOn w:val="DefaultParagraphFont"/>
    <w:link w:val="CommentText"/>
    <w:uiPriority w:val="99"/>
    <w:semiHidden/>
    <w:rsid w:val="003149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E"/>
    <w:rPr>
      <w:b/>
      <w:bCs/>
    </w:rPr>
  </w:style>
  <w:style w:type="character" w:customStyle="1" w:styleId="CommentSubjectChar">
    <w:name w:val="Comment Subject Char"/>
    <w:basedOn w:val="CommentTextChar"/>
    <w:link w:val="CommentSubject"/>
    <w:uiPriority w:val="99"/>
    <w:semiHidden/>
    <w:rsid w:val="0031496E"/>
    <w:rPr>
      <w:rFonts w:ascii="Times New Roman" w:eastAsia="Times New Roman" w:hAnsi="Times New Roman" w:cs="Times New Roman"/>
      <w:b/>
      <w:bCs/>
      <w:sz w:val="20"/>
      <w:szCs w:val="20"/>
    </w:rPr>
  </w:style>
  <w:style w:type="table" w:styleId="TableGrid">
    <w:name w:val="Table Grid"/>
    <w:basedOn w:val="TableNormal"/>
    <w:uiPriority w:val="59"/>
    <w:rsid w:val="0031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6219">
      <w:bodyDiv w:val="1"/>
      <w:marLeft w:val="0"/>
      <w:marRight w:val="0"/>
      <w:marTop w:val="0"/>
      <w:marBottom w:val="0"/>
      <w:divBdr>
        <w:top w:val="none" w:sz="0" w:space="0" w:color="auto"/>
        <w:left w:val="none" w:sz="0" w:space="0" w:color="auto"/>
        <w:bottom w:val="none" w:sz="0" w:space="0" w:color="auto"/>
        <w:right w:val="none" w:sz="0" w:space="0" w:color="auto"/>
      </w:divBdr>
    </w:div>
    <w:div w:id="108354110">
      <w:bodyDiv w:val="1"/>
      <w:marLeft w:val="0"/>
      <w:marRight w:val="0"/>
      <w:marTop w:val="0"/>
      <w:marBottom w:val="0"/>
      <w:divBdr>
        <w:top w:val="none" w:sz="0" w:space="0" w:color="auto"/>
        <w:left w:val="none" w:sz="0" w:space="0" w:color="auto"/>
        <w:bottom w:val="none" w:sz="0" w:space="0" w:color="auto"/>
        <w:right w:val="none" w:sz="0" w:space="0" w:color="auto"/>
      </w:divBdr>
    </w:div>
    <w:div w:id="151217680">
      <w:bodyDiv w:val="1"/>
      <w:marLeft w:val="0"/>
      <w:marRight w:val="0"/>
      <w:marTop w:val="0"/>
      <w:marBottom w:val="0"/>
      <w:divBdr>
        <w:top w:val="none" w:sz="0" w:space="0" w:color="auto"/>
        <w:left w:val="none" w:sz="0" w:space="0" w:color="auto"/>
        <w:bottom w:val="none" w:sz="0" w:space="0" w:color="auto"/>
        <w:right w:val="none" w:sz="0" w:space="0" w:color="auto"/>
      </w:divBdr>
    </w:div>
    <w:div w:id="278680382">
      <w:bodyDiv w:val="1"/>
      <w:marLeft w:val="0"/>
      <w:marRight w:val="0"/>
      <w:marTop w:val="0"/>
      <w:marBottom w:val="0"/>
      <w:divBdr>
        <w:top w:val="none" w:sz="0" w:space="0" w:color="auto"/>
        <w:left w:val="none" w:sz="0" w:space="0" w:color="auto"/>
        <w:bottom w:val="none" w:sz="0" w:space="0" w:color="auto"/>
        <w:right w:val="none" w:sz="0" w:space="0" w:color="auto"/>
      </w:divBdr>
    </w:div>
    <w:div w:id="304242107">
      <w:bodyDiv w:val="1"/>
      <w:marLeft w:val="0"/>
      <w:marRight w:val="0"/>
      <w:marTop w:val="0"/>
      <w:marBottom w:val="0"/>
      <w:divBdr>
        <w:top w:val="none" w:sz="0" w:space="0" w:color="auto"/>
        <w:left w:val="none" w:sz="0" w:space="0" w:color="auto"/>
        <w:bottom w:val="none" w:sz="0" w:space="0" w:color="auto"/>
        <w:right w:val="none" w:sz="0" w:space="0" w:color="auto"/>
      </w:divBdr>
    </w:div>
    <w:div w:id="351805650">
      <w:bodyDiv w:val="1"/>
      <w:marLeft w:val="0"/>
      <w:marRight w:val="0"/>
      <w:marTop w:val="0"/>
      <w:marBottom w:val="0"/>
      <w:divBdr>
        <w:top w:val="none" w:sz="0" w:space="0" w:color="auto"/>
        <w:left w:val="none" w:sz="0" w:space="0" w:color="auto"/>
        <w:bottom w:val="none" w:sz="0" w:space="0" w:color="auto"/>
        <w:right w:val="none" w:sz="0" w:space="0" w:color="auto"/>
      </w:divBdr>
    </w:div>
    <w:div w:id="20364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uscode-cgi/fastweb.exe?getdoc+uscview+t37t40+944+11++%2838%20USC%203714%29%20%20%20%20%20%20%20%20%2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uscode.house.gov/uscode-cgi/fastweb.exe?getdoc+uscview+t37t40+943+7++%2838%20USC%203713%20%28a%29%20and%20%28b%29%29%20%20%20%20%20%20%20%20%20%20" TargetMode="External"/><Relationship Id="rId17" Type="http://schemas.openxmlformats.org/officeDocument/2006/relationships/hyperlink" Target="http://uscode.house.gov/uscode-cgi/fastweb.exe?getdoc+uscview+t37t40+944+11++%2838%20USC%203714%29%20%20%20%20%20%20%20%20%20%20" TargetMode="External"/><Relationship Id="rId2" Type="http://schemas.openxmlformats.org/officeDocument/2006/relationships/customXml" Target="../customXml/item2.xml"/><Relationship Id="rId16" Type="http://schemas.openxmlformats.org/officeDocument/2006/relationships/hyperlink" Target="http://uscode.house.gov/uscode-cgi/fastweb.exe?getdoc+uscview+t37t40+943+7++%2838%20USC%203713%20%28a%29%20and%20%28b%29%29%20%20%20%20%20%20%20%20%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scode.house.gov/uscode-cgi/fastweb.exe?getdoc+uscview+t37t40+943+7++%2838%20USC%203713%20%28a%29%20and%20%28b%29%29%20%20%20%20%20%20%20%20%20%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uscode-cgi/fastweb.exe?getdoc+uscview+t37t40+932+6++%2838%20USC%203703%28e%29%29%20%20%20%20%20%20%20%20%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6ED8-F51F-435D-A298-6445CE075981}">
  <ds:schemaRefs>
    <ds:schemaRef ds:uri="http://schemas.microsoft.com/sharepoint/v3/contenttype/forms"/>
  </ds:schemaRefs>
</ds:datastoreItem>
</file>

<file path=customXml/itemProps2.xml><?xml version="1.0" encoding="utf-8"?>
<ds:datastoreItem xmlns:ds="http://schemas.openxmlformats.org/officeDocument/2006/customXml" ds:itemID="{A5FE5CF8-901F-4753-A281-EA8FFEF8B2A9}">
  <ds:schemaRef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70DE17-83C0-400B-8545-B9F5DE0B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1E451-E30C-47B5-BBE2-67114B9C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Department of Veterans Affairs</cp:lastModifiedBy>
  <cp:revision>5</cp:revision>
  <cp:lastPrinted>2013-12-04T21:05:00Z</cp:lastPrinted>
  <dcterms:created xsi:type="dcterms:W3CDTF">2016-01-22T02:21:00Z</dcterms:created>
  <dcterms:modified xsi:type="dcterms:W3CDTF">2016-01-28T15:59:00Z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0x010100D7876C0E34A97245A64A19B5B7BC3C0E</vt:lpwstr>
  </property>
</Properties>
</file>